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pBdr>
          <w:bottom w:val="single" w:sz="18" w:space="4" w:color="E06D00"/>
        </w:pBdr>
        <w:jc w:val="center"/>
      </w:pPr>
      <w:r>
        <w:t>AI Detection Analysis Report</w:t>
      </w:r>
    </w:p>
    <w:p>
      <w:pPr>
        <w:spacing w:after="80"/>
        <w:jc w:val="center"/>
      </w:pPr>
      <w:r>
        <w:rPr>
          <w:color w:val="7F8C8D"/>
          <w:sz w:val="18"/>
        </w:rPr>
        <w:t>Generated: June 27, 2026  |  Topic: Use of artificial-intelligence tools and learning motivation among undergraduate students: a quantitative survey study</w:t>
      </w:r>
    </w:p>
    <w:p/>
    <w:p>
      <w:pPr>
        <w:pStyle w:val="Heading2"/>
        <w:shd w:val="clear" w:color="auto" w:fill="FF7A00"/>
        <w:spacing w:before="200" w:after="120"/>
      </w:pPr>
      <w:r>
        <w:t>Client Action Summary</w:t>
      </w:r>
    </w:p>
    <w:p>
      <w:r>
        <w:rPr>
          <w:b/>
        </w:rPr>
        <w:t xml:space="preserve">Overall AI-detection risk: </w:t>
      </w:r>
      <w:r>
        <w:rPr>
          <w:b/>
          <w:color w:val="1F2937"/>
        </w:rPr>
        <w:t>Not determined — the AI-detection model did not run on this paper (it is unavailable or its access token is not configured); only the heuristic indicators apply. See the note below the summary table for details.</w:t>
      </w:r>
    </w:p>
    <w:p>
      <w:r>
        <w:rPr>
          <w:b/>
        </w:rPr>
        <w:t xml:space="preserve">Confidence: </w:t>
      </w:r>
      <w:r>
        <w:t>Low — based on local heuristic indicators only.</w:t>
      </w:r>
    </w:p>
    <w:p>
      <w:r>
        <w:rPr>
          <w:b/>
        </w:rPr>
        <w:t xml:space="preserve">Sections to review: </w:t>
      </w:r>
      <w:r>
        <w:t>Research Questions</w:t>
      </w:r>
    </w:p>
    <w:p>
      <w:r>
        <w:rPr>
          <w:b/>
        </w:rPr>
        <w:t>Recommended actions:</w:t>
      </w:r>
    </w:p>
    <w:p>
      <w:pPr>
        <w:pStyle w:val="ListBullet"/>
      </w:pPr>
      <w:r>
        <w:t>Vary sentence length and openings; make the phrasing more specific and source-based.</w:t>
      </w:r>
    </w:p>
    <w:p>
      <w:pPr>
        <w:pStyle w:val="ListBullet"/>
      </w:pPr>
      <w:r>
        <w:t>Replace with a specific, content-based opening.</w:t>
      </w:r>
    </w:p>
    <w:p>
      <w:pPr>
        <w:pStyle w:val="ListBullet"/>
      </w:pPr>
      <w:r>
        <w:t>Reduce repeated transitions — vary or remove some occurrences.</w:t>
      </w:r>
    </w:p>
    <w:p>
      <w:pPr>
        <w:pStyle w:val="ListBullet"/>
      </w:pPr>
      <w:r>
        <w:t>Vary how sentences begin.</w:t>
      </w:r>
    </w:p>
    <w:p/>
    <w:p>
      <w:pPr>
        <w:pStyle w:val="Heading2"/>
        <w:shd w:val="clear" w:color="auto" w:fill="FF7A00"/>
        <w:spacing w:before="200" w:after="120"/>
      </w:pPr>
      <w:r>
        <w:t>Section-by-Section Action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06D00"/>
          <w:left w:val="single" w:sz="4" w:space="0" w:color="E06D00"/>
          <w:bottom w:val="single" w:sz="4" w:space="0" w:color="E06D00"/>
          <w:right w:val="single" w:sz="4" w:space="0" w:color="E06D00"/>
          <w:insideH w:val="single" w:sz="4" w:space="0" w:color="FFE8CC"/>
          <w:insideV w:val="single" w:sz="4" w:space="0" w:color="FFE8CC"/>
        </w:tblBorders>
      </w:tblPr>
      <w:tblGrid>
        <w:gridCol w:w="2880"/>
        <w:gridCol w:w="2880"/>
        <w:gridCol w:w="2880"/>
      </w:tblGrid>
      <w:tr>
        <w:trPr>
          <w:tblHeader/>
          <w:cantSplit/>
        </w:trPr>
        <w:tc>
          <w:tcPr>
            <w:tcW w:type="dxa" w:w="288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288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288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What to improve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Abstract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 (normal for this section type) — Low sentence variation is normal here.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Introduction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Core Concepts and Definitions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Review of Prior Research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Synthesis and Research Gap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Research Questions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F39C12"/>
                <w:sz w:val="18"/>
              </w:rPr>
              <w:t>Review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Vary sentence length and openings; make the phrasing more specific and source-based.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Research Hypotheses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 (normal for this section type) — Low sentence variation is normal here.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Research Design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Population and Sample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Research Instruments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Procedure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Data Analysis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Ethical Considerations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Characteristics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Descriptive Statistics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Hypothesis Testing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 (normal for this section type) — Low sentence variation is normal here.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Interpretation of key findings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Comparison with the literature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Contribution and practical implications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Limitations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Future Research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Summary of Main Findings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Conclusions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  <w:shd w:val="clear" w:color="auto" w:fill="FFF5EB"/>
          </w:tcPr>
          <w:p>
            <w:r>
              <w:t>Recommendations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b/>
                <w:color w:val="27AE60"/>
                <w:sz w:val="18"/>
              </w:rPr>
              <w:t>OK</w:t>
            </w:r>
          </w:p>
        </w:tc>
        <w:tc>
          <w:tcPr>
            <w:tcW w:type="dxa" w:w="2880"/>
            <w:shd w:val="clear" w:color="auto" w:fill="FFF5EB"/>
          </w:tcPr>
          <w:p>
            <w:r>
              <w:rPr>
                <w:sz w:val="18"/>
              </w:rPr>
              <w:t>No change needed.</w:t>
            </w:r>
          </w:p>
        </w:tc>
      </w:tr>
      <w:tr>
        <w:trPr>
          <w:cantSplit/>
        </w:trPr>
        <w:tc>
          <w:tcPr>
            <w:tcW w:type="dxa" w:w="2880"/>
          </w:tcPr>
          <w:p>
            <w:r>
              <w:t>References</w:t>
            </w:r>
          </w:p>
        </w:tc>
        <w:tc>
          <w:tcPr>
            <w:tcW w:type="dxa" w:w="2880"/>
          </w:tcPr>
          <w:p>
            <w:r>
              <w:rPr>
                <w:b/>
                <w:color w:val="27AE60"/>
                <w:sz w:val="18"/>
              </w:rPr>
              <w:t>OK (normal for this section type) — Low sentence variation is normal here.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 change needed.</w:t>
            </w:r>
          </w:p>
        </w:tc>
      </w:tr>
    </w:tbl>
    <w:p/>
    <w:p>
      <w:pPr>
        <w:pStyle w:val="Heading2"/>
        <w:shd w:val="clear" w:color="auto" w:fill="FF7A00"/>
        <w:spacing w:before="200" w:after="120"/>
      </w:pPr>
      <w:r>
        <w:t>Phrasing to Revise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06D00"/>
          <w:left w:val="single" w:sz="4" w:space="0" w:color="E06D00"/>
          <w:bottom w:val="single" w:sz="4" w:space="0" w:color="E06D00"/>
          <w:right w:val="single" w:sz="4" w:space="0" w:color="E06D00"/>
          <w:insideH w:val="single" w:sz="4" w:space="0" w:color="FFE8CC"/>
          <w:insideV w:val="single" w:sz="4" w:space="0" w:color="FFE8CC"/>
        </w:tblBorders>
      </w:tblPr>
      <w:tblGrid>
        <w:gridCol w:w="4320"/>
        <w:gridCol w:w="4320"/>
      </w:tblGrid>
      <w:tr>
        <w:trPr>
          <w:tblHeader/>
          <w:cantSplit/>
        </w:trPr>
        <w:tc>
          <w:tcPr>
            <w:tcW w:type="dxa" w:w="432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Issue</w:t>
            </w:r>
          </w:p>
        </w:tc>
        <w:tc>
          <w:tcPr>
            <w:tcW w:type="dxa" w:w="432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Suggested fix</w:t>
            </w:r>
          </w:p>
        </w:tc>
      </w:tr>
      <w:tr>
        <w:trPr>
          <w:cantSplit/>
        </w:trPr>
        <w:tc>
          <w:tcPr>
            <w:tcW w:type="dxa" w:w="4320"/>
          </w:tcPr>
          <w:p>
            <w:r>
              <w:rPr>
                <w:sz w:val="18"/>
              </w:rPr>
              <w:t>Formulaic opening: “in this study” (appears 2 times)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Replace with a specific, content-based opening.</w:t>
            </w:r>
          </w:p>
        </w:tc>
      </w:tr>
      <w:tr>
        <w:trPr>
          <w:cantSplit/>
        </w:trPr>
        <w:tc>
          <w:tcPr>
            <w:tcW w:type="dxa" w:w="4320"/>
            <w:shd w:val="clear" w:color="auto" w:fill="FFF5EB"/>
          </w:tcPr>
          <w:p>
            <w:r>
              <w:rPr>
                <w:sz w:val="18"/>
              </w:rPr>
              <w:t>Overused transition: “overall” (appears 4 times)</w:t>
            </w:r>
          </w:p>
        </w:tc>
        <w:tc>
          <w:tcPr>
            <w:tcW w:type="dxa" w:w="4320"/>
            <w:shd w:val="clear" w:color="auto" w:fill="FFF5EB"/>
          </w:tcPr>
          <w:p>
            <w:r>
              <w:rPr>
                <w:sz w:val="18"/>
              </w:rPr>
              <w:t>Reduce repeated transitions — vary or remove some occurrences.</w:t>
            </w:r>
          </w:p>
        </w:tc>
      </w:tr>
      <w:tr>
        <w:trPr>
          <w:cantSplit/>
        </w:trPr>
        <w:tc>
          <w:tcPr>
            <w:tcW w:type="dxa" w:w="4320"/>
          </w:tcPr>
          <w:p>
            <w:r>
              <w:rPr>
                <w:sz w:val="18"/>
              </w:rPr>
              <w:t>Many sentences begin with “the” (67 times)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Vary how sentences begin.</w:t>
            </w:r>
          </w:p>
        </w:tc>
      </w:tr>
      <w:tr>
        <w:trPr>
          <w:cantSplit/>
        </w:trPr>
        <w:tc>
          <w:tcPr>
            <w:tcW w:type="dxa" w:w="4320"/>
            <w:shd w:val="clear" w:color="auto" w:fill="FFF5EB"/>
          </w:tcPr>
          <w:p>
            <w:r>
              <w:rPr>
                <w:sz w:val="18"/>
              </w:rPr>
              <w:t>Many sentences begin with “this” (28 times)</w:t>
            </w:r>
          </w:p>
        </w:tc>
        <w:tc>
          <w:tcPr>
            <w:tcW w:type="dxa" w:w="4320"/>
            <w:shd w:val="clear" w:color="auto" w:fill="FFF5EB"/>
          </w:tcPr>
          <w:p>
            <w:r>
              <w:rPr>
                <w:sz w:val="18"/>
              </w:rPr>
              <w:t>Vary how sentences begin.</w:t>
            </w:r>
          </w:p>
        </w:tc>
      </w:tr>
      <w:tr>
        <w:trPr>
          <w:cantSplit/>
        </w:trPr>
        <w:tc>
          <w:tcPr>
            <w:tcW w:type="dxa" w:w="4320"/>
          </w:tcPr>
          <w:p>
            <w:r>
              <w:rPr>
                <w:sz w:val="18"/>
              </w:rPr>
              <w:t>Many sentences begin with “for” (8 times)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Vary how sentences begin.</w:t>
            </w:r>
          </w:p>
        </w:tc>
      </w:tr>
      <w:tr>
        <w:trPr>
          <w:cantSplit/>
        </w:trPr>
        <w:tc>
          <w:tcPr>
            <w:tcW w:type="dxa" w:w="4320"/>
            <w:shd w:val="clear" w:color="auto" w:fill="FFF5EB"/>
          </w:tcPr>
          <w:p>
            <w:r>
              <w:rPr>
                <w:sz w:val="18"/>
              </w:rPr>
              <w:t>Many sentences begin with “as” (5 times)</w:t>
            </w:r>
          </w:p>
        </w:tc>
        <w:tc>
          <w:tcPr>
            <w:tcW w:type="dxa" w:w="4320"/>
            <w:shd w:val="clear" w:color="auto" w:fill="FFF5EB"/>
          </w:tcPr>
          <w:p>
            <w:r>
              <w:rPr>
                <w:sz w:val="18"/>
              </w:rPr>
              <w:t>Vary how sentences begin.</w:t>
            </w:r>
          </w:p>
        </w:tc>
      </w:tr>
    </w:tbl>
    <w:p/>
    <w:p>
      <w:pPr>
        <w:pStyle w:val="Heading2"/>
        <w:shd w:val="clear" w:color="auto" w:fill="FF7A00"/>
        <w:spacing w:before="200" w:after="120"/>
      </w:pPr>
      <w:r>
        <w:t>Executive Summary</w:t>
      </w:r>
    </w:p>
    <w:p>
      <w:r>
        <w:rPr>
          <w:sz w:val="22"/>
        </w:rPr>
        <w:t xml:space="preserve">This report analyses the document for AI-generated content indicators, comparing scores </w:t>
      </w:r>
      <w:r>
        <w:rPr>
          <w:b/>
        </w:rPr>
        <w:t>before</w:t>
      </w:r>
      <w:r>
        <w:t xml:space="preserve"> and </w:t>
      </w:r>
      <w:r>
        <w:rPr>
          <w:b/>
        </w:rPr>
        <w:t>after</w:t>
      </w:r>
      <w:r>
        <w:t xml:space="preserve"> the academic humanisation (polish) stage.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06D00"/>
          <w:left w:val="single" w:sz="4" w:space="0" w:color="E06D00"/>
          <w:bottom w:val="single" w:sz="4" w:space="0" w:color="E06D00"/>
          <w:right w:val="single" w:sz="4" w:space="0" w:color="E06D00"/>
          <w:insideH w:val="single" w:sz="4" w:space="0" w:color="FFE8CC"/>
          <w:insideV w:val="single" w:sz="4" w:space="0" w:color="FFE8CC"/>
        </w:tblBorders>
      </w:tblPr>
      <w:tblGrid>
        <w:gridCol w:w="2160"/>
        <w:gridCol w:w="2160"/>
        <w:gridCol w:w="2160"/>
        <w:gridCol w:w="2160"/>
      </w:tblGrid>
      <w:tr>
        <w:trPr>
          <w:tblHeader/>
          <w:cantSplit/>
        </w:trPr>
        <w:tc>
          <w:tcPr>
            <w:tcW w:type="dxa" w:w="216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16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Before Polish</w:t>
            </w:r>
          </w:p>
        </w:tc>
        <w:tc>
          <w:tcPr>
            <w:tcW w:type="dxa" w:w="216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After Polish</w:t>
            </w:r>
          </w:p>
        </w:tc>
        <w:tc>
          <w:tcPr>
            <w:tcW w:type="dxa" w:w="2160"/>
            <w:shd w:val="clear" w:color="auto" w:fill="FF7A00"/>
          </w:tcPr>
          <w:p>
            <w:r>
              <w:rPr>
                <w:b/>
                <w:color w:val="FFFFFF"/>
                <w:sz w:val="20"/>
              </w:rPr>
              <w:t>Change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AI Detection Score</w:t>
            </w:r>
          </w:p>
        </w:tc>
        <w:tc>
          <w:tcPr>
            <w:tcW w:type="dxa" w:w="2160"/>
          </w:tcPr>
          <w:p>
            <w:r>
              <w:t>N/A</w:t>
            </w:r>
          </w:p>
        </w:tc>
        <w:tc>
          <w:tcPr>
            <w:tcW w:type="dxa" w:w="2160"/>
          </w:tcPr>
          <w:p>
            <w:r>
              <w:t>N/A</w:t>
            </w:r>
          </w:p>
        </w:tc>
        <w:tc>
          <w:tcPr>
            <w:tcW w:type="dxa" w:w="2160"/>
          </w:tcPr>
          <w:p>
            <w:r>
              <w:t>N/A</w:t>
            </w:r>
          </w:p>
        </w:tc>
      </w:tr>
      <w:tr>
        <w:trPr>
          <w:cantSplit/>
        </w:trPr>
        <w:tc>
          <w:tcPr>
            <w:tcW w:type="dxa" w:w="2160"/>
            <w:shd w:val="clear" w:color="auto" w:fill="FFF5EB"/>
          </w:tcPr>
          <w:p>
            <w:r>
              <w:t>Burstiness</w:t>
            </w:r>
          </w:p>
        </w:tc>
        <w:tc>
          <w:tcPr>
            <w:tcW w:type="dxa" w:w="2160"/>
            <w:shd w:val="clear" w:color="auto" w:fill="FFF5EB"/>
          </w:tcPr>
          <w:p>
            <w:r>
              <w:t>79%</w:t>
            </w:r>
          </w:p>
        </w:tc>
        <w:tc>
          <w:tcPr>
            <w:tcW w:type="dxa" w:w="2160"/>
            <w:shd w:val="clear" w:color="auto" w:fill="FFF5EB"/>
          </w:tcPr>
          <w:p>
            <w:r>
              <w:t>78%</w:t>
            </w:r>
          </w:p>
        </w:tc>
        <w:tc>
          <w:tcPr>
            <w:tcW w:type="dxa" w:w="2160"/>
            <w:shd w:val="clear" w:color="auto" w:fill="FFF5EB"/>
          </w:tcPr>
          <w:p>
            <w:r>
              <w:rPr>
                <w:b/>
                <w:color w:val="E74C3C"/>
              </w:rPr>
              <w:t>↓ 1pp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Perplexity Proxy</w:t>
            </w:r>
          </w:p>
        </w:tc>
        <w:tc>
          <w:tcPr>
            <w:tcW w:type="dxa" w:w="2160"/>
          </w:tcPr>
          <w:p>
            <w:r>
              <w:t>78%</w:t>
            </w:r>
          </w:p>
        </w:tc>
        <w:tc>
          <w:tcPr>
            <w:tcW w:type="dxa" w:w="2160"/>
          </w:tcPr>
          <w:p>
            <w:r>
              <w:t>78%</w:t>
            </w:r>
          </w:p>
        </w:tc>
        <w:tc>
          <w:tcPr>
            <w:tcW w:type="dxa" w:w="2160"/>
          </w:tcPr>
          <w:p>
            <w:r>
              <w:rPr>
                <w:b/>
                <w:color w:val="E74C3C"/>
              </w:rPr>
              <w:t>↓ 0pp</w:t>
            </w:r>
          </w:p>
        </w:tc>
      </w:tr>
    </w:tbl>
    <w:p>
      <w:pPr>
        <w:spacing w:before="120" w:after="120"/>
      </w:pPr>
      <w:r>
        <w:rPr>
          <w:color w:val="B45309"/>
          <w:sz w:val="20"/>
        </w:rPr>
        <w:t>⚠ AI Detection Score is unavailable: the HuggingFace API token (`HF_TOKEN` / `HUGGINGFACE_TOKEN`) is not configured on this deployment. Only the local heuristic metrics (Burstiness, Perplexity Proxy) are shown above. Set the token to enable the chatgpt-detector-roberta classifier — it is the most reliable single indicator in this report.</w:t>
      </w:r>
    </w:p>
    <w:p/>
    <w:p>
      <w:pPr>
        <w:pStyle w:val="Heading2"/>
        <w:shd w:val="clear" w:color="auto" w:fill="FF7A00"/>
        <w:spacing w:before="200" w:after="120"/>
      </w:pPr>
      <w:r>
        <w:t>Understanding the Metrics</w:t>
      </w:r>
    </w:p>
    <w:p>
      <w:r>
        <w:t>AI detection tools are not infallible. Different detectors use different methods and may produce contradictory results. This report provides indicators based on statistical analysis and a dedicated detection model, but results should be interpreted as guidance, not absolute truth.</w:t>
      </w:r>
    </w:p>
    <w:p/>
    <w:p>
      <w:pPr>
        <w:pStyle w:val="Heading3"/>
      </w:pPr>
      <w:r>
        <w:rPr>
          <w:sz w:val="24"/>
        </w:rPr>
        <w:t>AI Detection Score (chatgpt-detector-roberta model)</w:t>
      </w:r>
    </w:p>
    <w:p>
      <w:r>
        <w:rPr>
          <w:b/>
        </w:rPr>
        <w:t xml:space="preserve">What it measures: </w:t>
      </w:r>
      <w:r>
        <w:t>This score is produced by a dedicated AI detection model (Hello-SimpleAI/chatgpt-detector-roberta), a RoBERTa transformer fine-tuned specifically to classify text as human-written or AI-generated. The model analyses linguistic patterns, word choice distributions, and contextual coherence to produce a probability score.</w:t>
      </w:r>
    </w:p>
    <w:p>
      <w:r>
        <w:rPr>
          <w:b/>
        </w:rPr>
        <w:t xml:space="preserve">How to read it: </w:t>
      </w:r>
      <w:r>
        <w:t>0% = certainly human-written, 100% = certainly AI-generated — the higher the score, the more likely the text is to be flagged as AI-generated. The risk levels below explain what each band means.</w:t>
      </w:r>
    </w:p>
    <w:p>
      <w:r>
        <w:rPr>
          <w:b/>
        </w:rPr>
        <w:t>Risk Levels</w:t>
      </w:r>
    </w:p>
    <w:p>
      <w:r>
        <w:rPr>
          <w:b/>
          <w:color w:val="27AE60"/>
        </w:rPr>
        <w:t xml:space="preserve">Low Risk (0–30%): </w:t>
      </w:r>
      <w:r>
        <w:t>The text exhibits characteristics typical of human writing. Most AI detectors are unlikely to flag it.</w:t>
      </w:r>
    </w:p>
    <w:p>
      <w:r>
        <w:rPr>
          <w:b/>
          <w:color w:val="F39C12"/>
        </w:rPr>
        <w:t xml:space="preserve">Medium Risk (30–60%): </w:t>
      </w:r>
      <w:r>
        <w:t>The text has some AI-like patterns. Some detectors may flag portions. Consider reviewing flagged sections for natural phrasing.</w:t>
      </w:r>
    </w:p>
    <w:p>
      <w:r>
        <w:rPr>
          <w:b/>
          <w:color w:val="E74C3C"/>
        </w:rPr>
        <w:t xml:space="preserve">High Risk (60–100%): </w:t>
      </w:r>
      <w:r>
        <w:t>The text shows strong AI-generation signals. Most detectors will likely flag it. Significant rewriting may be needed.</w:t>
      </w:r>
    </w:p>
    <w:p/>
    <w:p>
      <w:pPr>
        <w:pStyle w:val="Heading3"/>
      </w:pPr>
      <w:r>
        <w:rPr>
          <w:sz w:val="24"/>
        </w:rPr>
        <w:t>Burstiness</w:t>
      </w:r>
    </w:p>
    <w:p>
      <w:r>
        <w:rPr>
          <w:b/>
        </w:rPr>
        <w:t xml:space="preserve">What it measures: </w:t>
      </w:r>
      <w:r>
        <w:t>Burstiness measures the variation in sentence lengths throughout the document. Human writers naturally produce “bursty” text — a short punchy sentence followed by a long analytical one, then a medium-length transition. AI models tend to generate sentences of similar length, resulting in monotonous, uniform rhythm.</w:t>
      </w:r>
    </w:p>
    <w:p>
      <w:r>
        <w:rPr>
          <w:b/>
        </w:rPr>
        <w:t xml:space="preserve">How to read it: </w:t>
      </w:r>
      <w:r>
        <w:t>Technically, burstiness is the coefficient of variation (standard deviation / mean) of sentence word counts, normalised to a 0–1 scale. A burstiness of 0% means all sentences are the same length (AI-like). A burstiness of 60%+ indicates natural human variation. IMPORTANT: low burstiness in some sections is NORMAL, not a defect. Sections built on a fixed structural template — Abstract, Research Objectives, Hypotheses, References, bulleted lists — are inherently low-burstiness even when written entirely by a human author. The metric measures sentence-length variance, and a 4-bullet list of research objectives shaped “To investigate… / To identify… / To evaluate…” will score around 25–40% by definition. Interpret the score in context of the section type; analytical sections (Discussion, Theoretical Background) are the meaningful places to look for low burstiness as an AI signal.</w:t>
      </w:r>
    </w:p>
    <w:p/>
    <w:p>
      <w:pPr>
        <w:pStyle w:val="Heading3"/>
      </w:pPr>
      <w:r>
        <w:rPr>
          <w:sz w:val="24"/>
        </w:rPr>
        <w:t>Perplexity Proxy</w:t>
      </w:r>
    </w:p>
    <w:p>
      <w:r>
        <w:rPr>
          <w:b/>
        </w:rPr>
        <w:t xml:space="preserve">What it measures: </w:t>
      </w:r>
      <w:r>
        <w:t>True perplexity requires running the text through a language model to measure how “surprised” it is by each word. Since we avoid loading heavy ML models, this metric approximates perplexity using measurable proxies: vocabulary richness (how many unique words relative to total words), long-word usage, and sentence structure variety.</w:t>
      </w:r>
    </w:p>
    <w:p>
      <w:r>
        <w:rPr>
          <w:b/>
        </w:rPr>
        <w:t xml:space="preserve">How to read it: </w:t>
      </w:r>
      <w:r>
        <w:t>Higher values indicate more diverse, less predictable text — characteristic of human writing. Lower values suggest formulaic, predictable patterns typical of AI output. This is a statistical approximation, not a true perplexity measurement.</w:t>
      </w:r>
    </w:p>
    <w:p/>
    <w:p>
      <w:pPr>
        <w:pStyle w:val="Heading3"/>
      </w:pPr>
      <w:r>
        <w:rPr>
          <w:sz w:val="24"/>
        </w:rPr>
        <w:t>Vocabulary Richness (Root TTR)</w:t>
      </w:r>
    </w:p>
    <w:p>
      <w:r>
        <w:rPr>
          <w:b/>
        </w:rPr>
        <w:t xml:space="preserve">What it measures: </w:t>
      </w:r>
      <w:r>
        <w:t>The root type-token ratio counts unique words divided by the square root of total words. This corrects for document length — longer texts naturally repeat words more. AI-generated text tends to reuse the same vocabulary repeatedly, while human writers draw from a broader lexicon with more varied word choices.</w:t>
      </w:r>
    </w:p>
    <w:p>
      <w:r>
        <w:rPr>
          <w:b/>
        </w:rPr>
        <w:t xml:space="preserve">How to read it: </w:t>
      </w:r>
      <w:r>
        <w:t>Values are reported as a raw score. Higher values indicate richer, more varied vocabulary. This metric feeds into the Perplexity Proxy composite score.</w:t>
      </w:r>
    </w:p>
    <w:p/>
    <w:p>
      <w:pPr>
        <w:pStyle w:val="Heading3"/>
      </w:pPr>
      <w:r>
        <w:t>Limitations</w:t>
      </w:r>
    </w:p>
    <w:p>
      <w:pPr>
        <w:pStyle w:val="ListBullet"/>
      </w:pPr>
      <w:r>
        <w:t>The AI detection score depends on the chatgpt-detector-roberta model, which may not cover all languages equally well. Results are most reliable for English text.</w:t>
      </w:r>
    </w:p>
    <w:p>
      <w:pPr>
        <w:pStyle w:val="ListBullet"/>
      </w:pPr>
      <w:r>
        <w:t>Burstiness and perplexity proxy are statistical approximations. Short documents (&lt; 500 words) produce less reliable scores.</w:t>
      </w:r>
    </w:p>
    <w:p>
      <w:pPr>
        <w:pStyle w:val="ListBullet"/>
      </w:pPr>
      <w:r>
        <w:t>Detection technology evolves rapidly. Scores reflect the state of detection methods at the time of generation.</w:t>
      </w:r>
    </w:p>
    <w:p>
      <w:pPr>
        <w:pStyle w:val="ListBullet"/>
      </w:pPr>
      <w:r>
        <w:t>Academic writing naturally shares some patterns with AI output (formal register, structured arguments). This can inflate scores.</w:t>
      </w:r>
    </w:p>
    <w:p>
      <w:pPr>
        <w:pStyle w:val="Heading2"/>
        <w:shd w:val="clear" w:color="auto" w:fill="FF7A00"/>
        <w:spacing w:before="200" w:after="120"/>
      </w:pPr>
      <w:r>
        <w:t>Section-by-Section Analysis</w:t>
      </w:r>
    </w:p>
    <w:p>
      <w:r>
        <w:t>The following table shows detection scores for each major section of the document.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06D00"/>
          <w:left w:val="single" w:sz="4" w:space="0" w:color="E06D00"/>
          <w:bottom w:val="single" w:sz="4" w:space="0" w:color="E06D00"/>
          <w:right w:val="single" w:sz="4" w:space="0" w:color="E06D00"/>
          <w:insideH w:val="single" w:sz="4" w:space="0" w:color="FFE8CC"/>
          <w:insideV w:val="single" w:sz="4" w:space="0" w:color="FFE8CC"/>
        </w:tblBorders>
      </w:tblPr>
      <w:tblGrid>
        <w:gridCol w:w="1728"/>
        <w:gridCol w:w="1728"/>
        <w:gridCol w:w="1728"/>
        <w:gridCol w:w="1728"/>
        <w:gridCol w:w="1728"/>
      </w:tblGrid>
      <w:tr>
        <w:trPr>
          <w:tblHeader/>
          <w:cantSplit/>
        </w:trPr>
        <w:tc>
          <w:tcPr>
            <w:tcW w:type="dxa" w:w="1728"/>
            <w:shd w:val="clear" w:color="auto" w:fill="FF7A00"/>
          </w:tcPr>
          <w:p>
            <w:r>
              <w:rPr>
                <w:b/>
                <w:color w:val="FFFFFF"/>
                <w:sz w:val="18"/>
              </w:rPr>
              <w:t>Section</w:t>
            </w:r>
          </w:p>
        </w:tc>
        <w:tc>
          <w:tcPr>
            <w:tcW w:type="dxa" w:w="1728"/>
            <w:shd w:val="clear" w:color="auto" w:fill="FF7A00"/>
          </w:tcPr>
          <w:p>
            <w:r>
              <w:rPr>
                <w:b/>
                <w:color w:val="FFFFFF"/>
                <w:sz w:val="18"/>
              </w:rPr>
              <w:t>AI Score (Before)</w:t>
            </w:r>
          </w:p>
        </w:tc>
        <w:tc>
          <w:tcPr>
            <w:tcW w:type="dxa" w:w="1728"/>
            <w:shd w:val="clear" w:color="auto" w:fill="FF7A00"/>
          </w:tcPr>
          <w:p>
            <w:r>
              <w:rPr>
                <w:b/>
                <w:color w:val="FFFFFF"/>
                <w:sz w:val="18"/>
              </w:rPr>
              <w:t>AI Score (After)</w:t>
            </w:r>
          </w:p>
        </w:tc>
        <w:tc>
          <w:tcPr>
            <w:tcW w:type="dxa" w:w="1728"/>
            <w:shd w:val="clear" w:color="auto" w:fill="FF7A00"/>
          </w:tcPr>
          <w:p>
            <w:r>
              <w:rPr>
                <w:b/>
                <w:color w:val="FFFFFF"/>
                <w:sz w:val="18"/>
              </w:rPr>
              <w:t>Burstiness (Before)</w:t>
            </w:r>
          </w:p>
        </w:tc>
        <w:tc>
          <w:tcPr>
            <w:tcW w:type="dxa" w:w="1728"/>
            <w:shd w:val="clear" w:color="auto" w:fill="FF7A00"/>
          </w:tcPr>
          <w:p>
            <w:r>
              <w:rPr>
                <w:b/>
                <w:color w:val="FFFFFF"/>
                <w:sz w:val="18"/>
              </w:rPr>
              <w:t>Burstiness (After)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Abstract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94%</w:t>
            </w:r>
          </w:p>
        </w:tc>
        <w:tc>
          <w:tcPr>
            <w:tcW w:type="dxa" w:w="1728"/>
          </w:tcPr>
          <w:p>
            <w:r>
              <w:t>94%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Introduction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68%</w:t>
            </w:r>
          </w:p>
        </w:tc>
        <w:tc>
          <w:tcPr>
            <w:tcW w:type="dxa" w:w="1728"/>
            <w:shd w:val="clear" w:color="auto" w:fill="FFF5EB"/>
          </w:tcPr>
          <w:p>
            <w:r>
              <w:t>65%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Core Concepts and Definitions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60%</w:t>
            </w:r>
          </w:p>
        </w:tc>
        <w:tc>
          <w:tcPr>
            <w:tcW w:type="dxa" w:w="1728"/>
          </w:tcPr>
          <w:p>
            <w:r>
              <w:t>60%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Review of Prior Research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70%</w:t>
            </w:r>
          </w:p>
        </w:tc>
        <w:tc>
          <w:tcPr>
            <w:tcW w:type="dxa" w:w="1728"/>
            <w:shd w:val="clear" w:color="auto" w:fill="FFF5EB"/>
          </w:tcPr>
          <w:p>
            <w:r>
              <w:t>70%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Synthesis and Research Gap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80%</w:t>
            </w:r>
          </w:p>
        </w:tc>
        <w:tc>
          <w:tcPr>
            <w:tcW w:type="dxa" w:w="1728"/>
          </w:tcPr>
          <w:p>
            <w:r>
              <w:t>80%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Research Questions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22%</w:t>
            </w:r>
          </w:p>
        </w:tc>
        <w:tc>
          <w:tcPr>
            <w:tcW w:type="dxa" w:w="1728"/>
            <w:shd w:val="clear" w:color="auto" w:fill="FFF5EB"/>
          </w:tcPr>
          <w:p>
            <w:r>
              <w:t>20%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Research Hypotheses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67%</w:t>
            </w:r>
          </w:p>
        </w:tc>
        <w:tc>
          <w:tcPr>
            <w:tcW w:type="dxa" w:w="1728"/>
          </w:tcPr>
          <w:p>
            <w:r>
              <w:t>64%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Research Design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75%</w:t>
            </w:r>
          </w:p>
        </w:tc>
        <w:tc>
          <w:tcPr>
            <w:tcW w:type="dxa" w:w="1728"/>
            <w:shd w:val="clear" w:color="auto" w:fill="FFF5EB"/>
          </w:tcPr>
          <w:p>
            <w:r>
              <w:t>73%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Population and Sample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100%</w:t>
            </w:r>
          </w:p>
        </w:tc>
        <w:tc>
          <w:tcPr>
            <w:tcW w:type="dxa" w:w="1728"/>
          </w:tcPr>
          <w:p>
            <w:r>
              <w:t>100%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Research Instruments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100%</w:t>
            </w:r>
          </w:p>
        </w:tc>
        <w:tc>
          <w:tcPr>
            <w:tcW w:type="dxa" w:w="1728"/>
            <w:shd w:val="clear" w:color="auto" w:fill="FFF5EB"/>
          </w:tcPr>
          <w:p>
            <w:r>
              <w:t>92%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Procedure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73%</w:t>
            </w:r>
          </w:p>
        </w:tc>
        <w:tc>
          <w:tcPr>
            <w:tcW w:type="dxa" w:w="1728"/>
          </w:tcPr>
          <w:p>
            <w:r>
              <w:t>73%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Data Analysis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100%</w:t>
            </w:r>
          </w:p>
        </w:tc>
        <w:tc>
          <w:tcPr>
            <w:tcW w:type="dxa" w:w="1728"/>
            <w:shd w:val="clear" w:color="auto" w:fill="FFF5EB"/>
          </w:tcPr>
          <w:p>
            <w:r>
              <w:t>100%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Ethical Considerations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73%</w:t>
            </w:r>
          </w:p>
        </w:tc>
        <w:tc>
          <w:tcPr>
            <w:tcW w:type="dxa" w:w="1728"/>
          </w:tcPr>
          <w:p>
            <w:r>
              <w:t>73%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Characteristics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100%</w:t>
            </w:r>
          </w:p>
        </w:tc>
        <w:tc>
          <w:tcPr>
            <w:tcW w:type="dxa" w:w="1728"/>
            <w:shd w:val="clear" w:color="auto" w:fill="FFF5EB"/>
          </w:tcPr>
          <w:p>
            <w:r>
              <w:t>100%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Descriptive Statistics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100%</w:t>
            </w:r>
          </w:p>
        </w:tc>
        <w:tc>
          <w:tcPr>
            <w:tcW w:type="dxa" w:w="1728"/>
          </w:tcPr>
          <w:p>
            <w:r>
              <w:t>100%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Hypothesis Testing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100%</w:t>
            </w:r>
          </w:p>
        </w:tc>
        <w:tc>
          <w:tcPr>
            <w:tcW w:type="dxa" w:w="1728"/>
            <w:shd w:val="clear" w:color="auto" w:fill="FFF5EB"/>
          </w:tcPr>
          <w:p>
            <w:r>
              <w:t>100%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Interpretation of key findings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74%</w:t>
            </w:r>
          </w:p>
        </w:tc>
        <w:tc>
          <w:tcPr>
            <w:tcW w:type="dxa" w:w="1728"/>
          </w:tcPr>
          <w:p>
            <w:r>
              <w:t>72%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Comparison with the literature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64%</w:t>
            </w:r>
          </w:p>
        </w:tc>
        <w:tc>
          <w:tcPr>
            <w:tcW w:type="dxa" w:w="1728"/>
            <w:shd w:val="clear" w:color="auto" w:fill="FFF5EB"/>
          </w:tcPr>
          <w:p>
            <w:r>
              <w:t>65%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Contribution and practical implications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68%</w:t>
            </w:r>
          </w:p>
        </w:tc>
        <w:tc>
          <w:tcPr>
            <w:tcW w:type="dxa" w:w="1728"/>
          </w:tcPr>
          <w:p>
            <w:r>
              <w:t>68%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Limitations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85%</w:t>
            </w:r>
          </w:p>
        </w:tc>
        <w:tc>
          <w:tcPr>
            <w:tcW w:type="dxa" w:w="1728"/>
            <w:shd w:val="clear" w:color="auto" w:fill="FFF5EB"/>
          </w:tcPr>
          <w:p>
            <w:r>
              <w:t>84%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Future Research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87%</w:t>
            </w:r>
          </w:p>
        </w:tc>
        <w:tc>
          <w:tcPr>
            <w:tcW w:type="dxa" w:w="1728"/>
          </w:tcPr>
          <w:p>
            <w:r>
              <w:t>87%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Summary of Main Findings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80%</w:t>
            </w:r>
          </w:p>
        </w:tc>
        <w:tc>
          <w:tcPr>
            <w:tcW w:type="dxa" w:w="1728"/>
            <w:shd w:val="clear" w:color="auto" w:fill="FFF5EB"/>
          </w:tcPr>
          <w:p>
            <w:r>
              <w:t>78%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Conclusions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100%</w:t>
            </w:r>
          </w:p>
        </w:tc>
        <w:tc>
          <w:tcPr>
            <w:tcW w:type="dxa" w:w="1728"/>
          </w:tcPr>
          <w:p>
            <w:r>
              <w:t>100%</w:t>
            </w:r>
          </w:p>
        </w:tc>
      </w:tr>
      <w:tr>
        <w:trPr>
          <w:cantSplit/>
        </w:trPr>
        <w:tc>
          <w:tcPr>
            <w:tcW w:type="dxa" w:w="1728"/>
            <w:shd w:val="clear" w:color="auto" w:fill="FFF5EB"/>
          </w:tcPr>
          <w:p>
            <w:r>
              <w:t>Recommendations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N/A</w:t>
            </w:r>
          </w:p>
        </w:tc>
        <w:tc>
          <w:tcPr>
            <w:tcW w:type="dxa" w:w="1728"/>
            <w:shd w:val="clear" w:color="auto" w:fill="FFF5EB"/>
          </w:tcPr>
          <w:p>
            <w:r>
              <w:t>51%</w:t>
            </w:r>
          </w:p>
        </w:tc>
        <w:tc>
          <w:tcPr>
            <w:tcW w:type="dxa" w:w="1728"/>
            <w:shd w:val="clear" w:color="auto" w:fill="FFF5EB"/>
          </w:tcPr>
          <w:p>
            <w:r>
              <w:t>51%</w:t>
            </w:r>
          </w:p>
        </w:tc>
      </w:tr>
      <w:tr>
        <w:trPr>
          <w:cantSplit/>
        </w:trPr>
        <w:tc>
          <w:tcPr>
            <w:tcW w:type="dxa" w:w="1728"/>
          </w:tcPr>
          <w:p>
            <w:r>
              <w:t>References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N/A</w:t>
            </w:r>
          </w:p>
        </w:tc>
        <w:tc>
          <w:tcPr>
            <w:tcW w:type="dxa" w:w="1728"/>
          </w:tcPr>
          <w:p>
            <w:r>
              <w:t>100%</w:t>
            </w:r>
          </w:p>
        </w:tc>
        <w:tc>
          <w:tcPr>
            <w:tcW w:type="dxa" w:w="1728"/>
          </w:tcPr>
          <w:p>
            <w:r>
              <w:t>100%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Note: Burstiness is a measure of sentence-length variance. Some section types are inherently low-burstiness — Abstract, Research Objectives, Hypotheses, References, and any bulleted list have fixed structural templates, so a 25–40% score for these sections reflects the format, not AI authorship. The metric is most informative on analytical sections (Discussion, Theoretical Background) where a human writer would naturally vary sentence rhythm.</w:t>
      </w:r>
    </w:p>
    <w:p/>
    <w:p/>
    <w:p>
      <w:pPr>
        <w:jc w:val="center"/>
      </w:pPr>
      <w:r>
        <w:rPr>
          <w:color w:val="95A5A6"/>
          <w:sz w:val="16"/>
        </w:rPr>
        <w:t>Generated by Texio Academic Writing Platform | Detection model: Hello-SimpleAI/chatgpt-detector-roberta | 2026-06-27 16:51 UTC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 w:after="120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1F293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FFFF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C06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