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Anticipated Q&amp;A — Use of artificial-intelligence tools and learning motivation among undergraduate students: a quantitative survey study</w:t>
      </w:r>
    </w:p>
    <w:p>
      <w:pPr>
        <w:pStyle w:val="Heading2"/>
      </w:pPr>
      <w:r>
        <w:t>Q1: Your study relies on a cross-sectional design. How can you claim that AI use predicts intrinsic motivation rather than the reverse—that highly motivated students are simply more likely to experiment with new tools?</w:t>
      </w:r>
    </w:p>
    <w:p>
      <w:r>
        <w:rPr>
          <w:b/>
        </w:rPr>
        <w:t xml:space="preserve">A: </w:t>
      </w:r>
      <w:r>
        <w:t>You are correct that the cross-sectional design precludes causal inference. We explicitly acknowledge in the discussion that the observed association is consistent with bidirectional influence; our findings describe a robust positive correlation rather than a unidirectional causal path. The study frames the relationship as a 'scaffolding-based account' rather than a definitive proof of causation.</w:t>
      </w:r>
    </w:p>
    <w:p>
      <w:r>
        <w:rPr>
          <w:i/>
          <w:color w:val="666666"/>
          <w:sz w:val="18"/>
        </w:rPr>
        <w:t>[Category: methodology]</w:t>
      </w:r>
    </w:p>
    <w:p/>
    <w:p>
      <w:pPr>
        <w:pStyle w:val="Heading2"/>
      </w:pPr>
      <w:r>
        <w:t>Q2: How do you account for the potential bias of using self-reported AI usage frequency instead of objective system logs?</w:t>
      </w:r>
    </w:p>
    <w:p>
      <w:r>
        <w:rPr>
          <w:b/>
        </w:rPr>
        <w:t xml:space="preserve">A: </w:t>
      </w:r>
      <w:r>
        <w:t>The reliance on self-reported frequency is a recognized limitation, as it may be subject to recall bias or social desirability effects. However, our use of a validated, multi-item frequency scale (α = .76) provides a more reliable measure than single-item self-reports. Future research should integrate objective usage logs to validate these self-reported patterns.</w:t>
      </w:r>
    </w:p>
    <w:p>
      <w:r>
        <w:rPr>
          <w:i/>
          <w:color w:val="666666"/>
          <w:sz w:val="18"/>
        </w:rPr>
        <w:t>[Category: limitations]</w:t>
      </w:r>
    </w:p>
    <w:p/>
    <w:p>
      <w:pPr>
        <w:pStyle w:val="Heading2"/>
      </w:pPr>
      <w:r>
        <w:t>Q3: You argue that AI tools support intrinsic motivation through 'scaffolding.' How do you distinguish this from students simply using AI to complete tasks more efficiently for extrinsic rewards?</w:t>
      </w:r>
    </w:p>
    <w:p>
      <w:r>
        <w:rPr>
          <w:b/>
        </w:rPr>
        <w:t xml:space="preserve">A: </w:t>
      </w:r>
      <w:r>
        <w:t>Our analysis utilized the Academic Motivation Scale (AMS), which allows us to statistically differentiate between intrinsic and extrinsic motivational subtypes. Our findings show a significant positive association specifically with the intrinsic motivation composite rather than the extrinsic subscales. This suggests that the motivational gains observed are linked to engagement and interest rather than mere grade-seeking behavior.</w:t>
      </w:r>
    </w:p>
    <w:p>
      <w:r>
        <w:rPr>
          <w:i/>
          <w:color w:val="666666"/>
          <w:sz w:val="18"/>
        </w:rPr>
        <w:t>[Category: theory]</w:t>
      </w:r>
    </w:p>
    <w:p/>
    <w:p>
      <w:pPr>
        <w:pStyle w:val="Heading2"/>
      </w:pPr>
      <w:r>
        <w:t>Q4: If advanced students show only a marginal motivational benefit from AI use, should institutions stop providing AI support to them?</w:t>
      </w:r>
    </w:p>
    <w:p>
      <w:r>
        <w:rPr>
          <w:b/>
        </w:rPr>
        <w:t xml:space="preserve">A: </w:t>
      </w:r>
      <w:r>
        <w:t>Our findings do not suggest that AI tools are useless for advanced students, but rather that their motivational function shifts as students internalize disciplinary norms. For advanced learners, AI may serve more as a productivity tool than a motivational scaffold. Institutions should therefore deploy AI resources with awareness of these differing needs across the degree trajectory.</w:t>
      </w:r>
    </w:p>
    <w:p>
      <w:r>
        <w:rPr>
          <w:i/>
          <w:color w:val="666666"/>
          <w:sz w:val="18"/>
        </w:rPr>
        <w:t>[Category: implications]</w:t>
      </w:r>
    </w:p>
    <w:p/>
    <w:p>
      <w:pPr>
        <w:pStyle w:val="Heading2"/>
      </w:pPr>
      <w:r>
        <w:t>Q5: Your sample is a convenience sample of 200 students. To what extent can these results be generalized to the broader undergraduate population?</w:t>
      </w:r>
    </w:p>
    <w:p>
      <w:r>
        <w:rPr>
          <w:b/>
        </w:rPr>
        <w:t xml:space="preserve">A: </w:t>
      </w:r>
      <w:r>
        <w:t>The use of a convenience sample is a limitation that restricts the generalizability of our findings to the wider undergraduate population. While our sample captures diverse disciplinary backgrounds, it may over-represent tech-engaged students. We present these results as an initial empirical contribution that warrants replication across broader, more representative institutional contexts.</w:t>
      </w:r>
    </w:p>
    <w:p>
      <w:r>
        <w:rPr>
          <w:i/>
          <w:color w:val="666666"/>
          <w:sz w:val="18"/>
        </w:rPr>
        <w:t>[Category: limitations]</w:t>
      </w:r>
    </w:p>
    <w:p/>
    <w:p>
      <w:pPr>
        <w:pStyle w:val="Heading2"/>
      </w:pPr>
      <w:r>
        <w:t>Q6: What evidence supports your claim that the motivational benefit is concentrated in the first year of study?</w:t>
      </w:r>
    </w:p>
    <w:p>
      <w:r>
        <w:rPr>
          <w:b/>
        </w:rPr>
        <w:t xml:space="preserve">A: </w:t>
      </w:r>
      <w:r>
        <w:t>Our moderation analysis using the Hayes PROCESS macro yielded a significant interaction effect (B = 0.27, p = .015). Simple slopes analysis confirmed a strong, significant association for first-year students (B = 0.41, p &lt; .001) compared to a marginal association for advanced students (B = 0.14, p = .082). This statistical divergence supports our hypothesis that AI scaffolding is most consequential during the initial transition into higher education.</w:t>
      </w:r>
    </w:p>
    <w:p>
      <w:r>
        <w:rPr>
          <w:i/>
          <w:color w:val="666666"/>
          <w:sz w:val="18"/>
        </w:rPr>
        <w:t>[Category: results]</w:t>
      </w:r>
    </w:p>
    <w:p/>
    <w:p>
      <w:pPr>
        <w:pStyle w:val="Heading2"/>
      </w:pPr>
      <w:r>
        <w:t>Q7: How does your definition of 'AI-assisted learning' account for the risk that AI might replace the very effortful cognition required for learning?</w:t>
      </w:r>
    </w:p>
    <w:p>
      <w:r>
        <w:rPr>
          <w:b/>
        </w:rPr>
        <w:t xml:space="preserve">A: </w:t>
      </w:r>
      <w:r>
        <w:t>We define AI-assisted learning as iterative, dialogic engagement with tools, specifically excluding passive consumption of content. We acknowledge the risk that over-reliance can displace effortful cognition, as noted in our literature review. Our study focuses on the scaffolding potential of AI, assuming that when used as an interlocutor, it supports rather than supplants the cognitive processes underlying intrinsic motivation.</w:t>
      </w:r>
    </w:p>
    <w:p>
      <w:r>
        <w:rPr>
          <w:i/>
          <w:color w:val="666666"/>
          <w:sz w:val="18"/>
        </w:rPr>
        <w:t>[Category: theory]</w:t>
      </w:r>
    </w:p>
    <w:p/>
    <w:p>
      <w:pPr>
        <w:pStyle w:val="Heading2"/>
      </w:pPr>
      <w:r>
        <w:t>Q8: Given that your sample GPA mean is 82.4, is it possible your results are skewed by a high-achieving student population?</w:t>
      </w:r>
    </w:p>
    <w:p>
      <w:r>
        <w:rPr>
          <w:b/>
        </w:rPr>
        <w:t xml:space="preserve">A: </w:t>
      </w:r>
      <w:r>
        <w:t>The sample mean GPA of 82.4 indicates a relatively high-achieving group, which is a common characteristic of convenience samples in academic research. We controlled for GPA in our moderation analysis to ensure the observed motivational effects were not simply artifacts of prior academic performance. However, future research should aim to include a wider range of academic achievement to confirm the robustness of these findings.</w:t>
      </w:r>
    </w:p>
    <w:p>
      <w:r>
        <w:rPr>
          <w:i/>
          <w:color w:val="666666"/>
          <w:sz w:val="18"/>
        </w:rPr>
        <w:t>[Category: methodology]</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336" w:lineRule="auto"/>
    </w:pPr>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