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Bdr>
          <w:bottom w:val="single" w:sz="18" w:space="4" w:color="E06D00"/>
        </w:pBdr>
      </w:pPr>
      <w:r>
        <w:rPr>
          <w:b/>
          <w:color w:val="C06000"/>
          <w:sz w:val="52"/>
        </w:rPr>
        <w:t>Academic Quality, Evidence &amp; Citation Audit Report</w:t>
      </w:r>
    </w:p>
    <w:p/>
    <w:p>
      <w:pPr>
        <w:jc w:val="center"/>
      </w:pPr>
      <w:r>
        <w:rPr>
          <w:i/>
          <w:sz w:val="30"/>
        </w:rPr>
        <w:t>Reconceptualising Authorship in the Age of Generative AI: A Theoretical Review</w:t>
      </w:r>
    </w:p>
    <w:p/>
    <w:p>
      <w:pPr>
        <w:jc w:val="center"/>
      </w:pPr>
      <w:r>
        <w:rPr>
          <w:color w:val="6B7280"/>
          <w:sz w:val="22"/>
        </w:rPr>
        <w:t>A transparent review of your paper: how its sources were verified, what the evidence supports, and what to strengthen before you submit.</w:t>
      </w:r>
    </w:p>
    <w:p/>
    <w:p/>
    <w:p/>
    <w:p/>
    <w:p/>
    <w:p/>
    <w:p>
      <w:pPr>
        <w:jc w:val="center"/>
      </w:pPr>
      <w:r>
        <w:rPr>
          <w:color w:val="6B7280"/>
          <w:sz w:val="22"/>
        </w:rPr>
        <w:t>Generated on: 2026-06-29</w:t>
      </w:r>
    </w:p>
    <w:p>
      <w:r>
        <w:br w:type="page"/>
      </w:r>
    </w:p>
    <w:p>
      <w:pPr>
        <w:pStyle w:val="Heading1"/>
        <w:pageBreakBefore w:val="0"/>
        <w:jc w:val="left"/>
      </w:pPr>
      <w:r>
        <w:t>Table of Contents</w:t>
      </w:r>
    </w:p>
    <w:p>
      <w:pPr>
        <w:tabs>
          <w:tab w:pos="8640" w:val="right" w:leader="dot"/>
        </w:tabs>
        <w:spacing w:after="40"/>
        <w:jc w:val="left"/>
      </w:pPr>
      <w:r>
        <w:rPr>
          <w:b/>
        </w:rPr>
        <w:t>At a glance</w:t>
      </w:r>
      <w:r>
        <w:tab/>
        <w:t>1</w:t>
      </w:r>
    </w:p>
    <w:p>
      <w:pPr>
        <w:tabs>
          <w:tab w:pos="8640" w:val="right" w:leader="dot"/>
        </w:tabs>
        <w:spacing w:after="40"/>
        <w:jc w:val="left"/>
      </w:pPr>
      <w:r>
        <w:rPr>
          <w:b/>
        </w:rPr>
        <w:t>Source Registry</w:t>
      </w:r>
      <w:r>
        <w:tab/>
        <w:t>1</w:t>
      </w:r>
    </w:p>
    <w:p>
      <w:pPr>
        <w:tabs>
          <w:tab w:pos="8640" w:val="right" w:leader="dot"/>
        </w:tabs>
        <w:spacing w:after="40"/>
        <w:jc w:val="left"/>
      </w:pPr>
      <w:r>
        <w:rPr>
          <w:b/>
        </w:rPr>
        <w:t>Source &amp; Citation Audit</w:t>
      </w:r>
      <w:r>
        <w:tab/>
        <w:t>4</w:t>
      </w:r>
    </w:p>
    <w:p>
      <w:pPr>
        <w:tabs>
          <w:tab w:pos="8640" w:val="right" w:leader="dot"/>
        </w:tabs>
        <w:spacing w:after="40"/>
        <w:jc w:val="left"/>
      </w:pPr>
      <w:r>
        <w:rPr>
          <w:b/>
        </w:rPr>
        <w:t>Evidence Table</w:t>
      </w:r>
      <w:r>
        <w:tab/>
        <w:t>5</w:t>
      </w:r>
    </w:p>
    <w:p>
      <w:pPr>
        <w:tabs>
          <w:tab w:pos="8640" w:val="right" w:leader="dot"/>
        </w:tabs>
        <w:spacing w:after="40"/>
        <w:jc w:val="left"/>
      </w:pPr>
      <w:r>
        <w:rPr>
          <w:b/>
        </w:rPr>
        <w:t>Literature / Source Summary</w:t>
      </w:r>
      <w:r>
        <w:tab/>
        <w:t>12</w:t>
      </w:r>
    </w:p>
    <w:p>
      <w:pPr>
        <w:tabs>
          <w:tab w:pos="8640" w:val="right" w:leader="dot"/>
        </w:tabs>
        <w:spacing w:after="40"/>
        <w:jc w:val="left"/>
      </w:pPr>
      <w:r>
        <w:rPr>
          <w:b/>
        </w:rPr>
        <w:t>Academic Quality Review</w:t>
      </w:r>
      <w:r>
        <w:tab/>
        <w:t>21</w:t>
      </w:r>
    </w:p>
    <w:p>
      <w:pPr>
        <w:tabs>
          <w:tab w:pos="8640" w:val="right" w:leader="dot"/>
        </w:tabs>
        <w:spacing w:after="40"/>
        <w:jc w:val="left"/>
      </w:pPr>
      <w:r>
        <w:rPr>
          <w:b/>
        </w:rPr>
        <w:t>Before You Submit</w:t>
      </w:r>
      <w:r>
        <w:tab/>
        <w:t>30</w:t>
      </w:r>
    </w:p>
    <w:p>
      <w:pPr>
        <w:tabs>
          <w:tab w:pos="8640" w:val="right" w:leader="dot"/>
        </w:tabs>
        <w:spacing w:after="40"/>
        <w:jc w:val="left"/>
      </w:pPr>
      <w:r>
        <w:rPr>
          <w:b/>
        </w:rPr>
        <w:t>Source Pool — Every Source We Scanned</w:t>
      </w:r>
      <w:r>
        <w:tab/>
        <w:t>30</w:t>
      </w:r>
    </w:p>
    <w:p>
      <w:pPr>
        <w:tabs>
          <w:tab w:pos="8640" w:val="right" w:leader="dot"/>
        </w:tabs>
        <w:spacing w:after="40"/>
        <w:jc w:val="left"/>
      </w:pPr>
      <w:r>
        <w:rPr>
          <w:b/>
        </w:rPr>
        <w:t>The Searches We Ran</w:t>
      </w:r>
      <w:r>
        <w:tab/>
        <w:t>42</w:t>
      </w:r>
    </w:p>
    <w:p>
      <w:pPr>
        <w:sectPr>
          <w:pgSz w:w="12240" w:h="15840"/>
          <w:pgMar w:top="1440" w:right="1800" w:bottom="1440" w:left="1800" w:header="720" w:footer="720" w:gutter="0"/>
          <w:cols w:space="720"/>
          <w:docGrid w:linePitch="360"/>
        </w:sectPr>
      </w:pPr>
    </w:p>
    <w:p>
      <w:pPr>
        <w:pStyle w:val="Heading1"/>
        <w:pBdr>
          <w:bottom w:val="single" w:sz="18" w:space="4" w:color="E06D00"/>
        </w:pBdr>
      </w:pPr>
      <w:r>
        <w:t>At a glance</w:t>
      </w:r>
    </w:p>
    <w:p>
      <w:pPr>
        <w:jc w:val="left"/>
      </w:pPr>
      <w:r>
        <w:rPr>
          <w:rFonts w:ascii="Times New Roman" w:hAnsi="Times New Roman"/>
          <w:b w:val="0"/>
          <w:color w:val="6B7280"/>
          <w:sz w:val="20"/>
        </w:rPr>
        <w:t>This report summarizes the automated quality and source review of your work. It is a guidance document for you — not a grade, and not a substitute for your own academic judgement.</w:t>
      </w:r>
    </w:p>
    <w:p>
      <w:pPr>
        <w:jc w:val="left"/>
      </w:pPr>
      <w:r>
        <w:rPr>
          <w:rFonts w:ascii="Times New Roman" w:hAnsi="Times New Roman"/>
          <w:b/>
          <w:sz w:val="26"/>
        </w:rPr>
        <w:t>Draft writing quality: 90/100</w:t>
      </w:r>
    </w:p>
    <w:p>
      <w:pPr>
        <w:jc w:val="left"/>
      </w:pPr>
      <w:r>
        <w:rPr>
          <w:rFonts w:ascii="Times New Roman" w:hAnsi="Times New Roman"/>
          <w:b w:val="0"/>
          <w:color w:val="6B7280"/>
          <w:sz w:val="18"/>
        </w:rPr>
        <w:t>Structure, clarity and academic style of the draft (0–100).</w:t>
      </w:r>
    </w:p>
    <w:p>
      <w:pPr>
        <w:jc w:val="left"/>
      </w:pPr>
      <w:r>
        <w:rPr>
          <w:rFonts w:ascii="Times New Roman" w:hAnsi="Times New Roman"/>
          <w:b/>
          <w:sz w:val="26"/>
        </w:rPr>
        <w:t>Submission readiness: Moderate — targeted strengthening recommended</w:t>
      </w:r>
    </w:p>
    <w:p/>
    <w:p>
      <w:pPr>
        <w:jc w:val="left"/>
      </w:pPr>
      <w:r>
        <w:rPr>
          <w:rFonts w:ascii="Times New Roman" w:hAnsi="Times New Roman"/>
          <w:b w:val="0"/>
          <w:sz w:val="20"/>
        </w:rPr>
        <w:t>11/13 sources verified · 10/13 with evidence extracted · claim-support assessed for 8/13</w:t>
      </w:r>
    </w:p>
    <w:p>
      <w:pPr>
        <w:jc w:val="left"/>
      </w:pPr>
      <w:r>
        <w:rPr>
          <w:rFonts w:ascii="Times New Roman" w:hAnsi="Times New Roman"/>
          <w:b w:val="0"/>
          <w:sz w:val="20"/>
        </w:rPr>
        <w:t>Requirements met: 2/3</w:t>
      </w:r>
    </w:p>
    <w:p>
      <w:pPr>
        <w:jc w:val="left"/>
      </w:pPr>
      <w:r>
        <w:rPr>
          <w:rFonts w:ascii="Times New Roman" w:hAnsi="Times New Roman"/>
          <w:b w:val="0"/>
          <w:sz w:val="20"/>
        </w:rPr>
        <w:t>Background sources: 5</w:t>
      </w:r>
    </w:p>
    <w:p/>
    <w:p>
      <w:pPr>
        <w:pStyle w:val="Heading1"/>
        <w:pBdr>
          <w:bottom w:val="single" w:sz="18" w:space="4" w:color="E06D00"/>
        </w:pBdr>
      </w:pPr>
      <w:r>
        <w:t>Source Registry</w:t>
      </w:r>
    </w:p>
    <w:p>
      <w:pPr>
        <w:jc w:val="left"/>
      </w:pPr>
      <w:r>
        <w:rPr>
          <w:rFonts w:ascii="Times New Roman" w:hAnsi="Times New Roman"/>
          <w:b w:val="0"/>
          <w:color w:val="6B7280"/>
          <w:sz w:val="20"/>
        </w:rPr>
        <w:t>Every source your paper relies on, numbered S1…Sn. The rest of this report refers to these IDs instead of repeating full references.</w:t>
      </w:r>
    </w:p>
    <w:tbl>
      <w:tblPr>
        <w:tblStyle w:val="TableGrid"/>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1440"/>
        <w:gridCol w:w="1440"/>
        <w:gridCol w:w="1440"/>
        <w:gridCol w:w="1440"/>
        <w:gridCol w:w="1440"/>
        <w:gridCol w:w="1440"/>
      </w:tblGrid>
      <w:tr>
        <w:trPr>
          <w:tblHeader/>
          <w:cantSplit/>
        </w:trPr>
        <w:tc>
          <w:tcPr>
            <w:tcW w:type="dxa" w:w="720"/>
            <w:shd w:val="clear" w:color="auto" w:fill="FF7A00"/>
          </w:tcPr>
          <w:p>
            <w:pPr>
              <w:bidi w:val="0"/>
              <w:jc w:val="start"/>
            </w:pPr>
            <w:r/>
            <w:r>
              <w:rPr>
                <w:b/>
                <w:color w:val="FFFFFF"/>
                <w:sz w:val="18"/>
              </w:rPr>
              <w:t>ID</w:t>
            </w:r>
          </w:p>
        </w:tc>
        <w:tc>
          <w:tcPr>
            <w:tcW w:type="dxa" w:w="4032"/>
            <w:shd w:val="clear" w:color="auto" w:fill="FF7A00"/>
          </w:tcPr>
          <w:p>
            <w:pPr>
              <w:bidi w:val="0"/>
              <w:jc w:val="start"/>
            </w:pPr>
            <w:r/>
            <w:r>
              <w:rPr>
                <w:b/>
                <w:color w:val="FFFFFF"/>
                <w:sz w:val="18"/>
              </w:rPr>
              <w:t>Reference (APA)</w:t>
            </w:r>
          </w:p>
        </w:tc>
        <w:tc>
          <w:tcPr>
            <w:tcW w:type="dxa" w:w="1872"/>
            <w:shd w:val="clear" w:color="auto" w:fill="FF7A00"/>
          </w:tcPr>
          <w:p>
            <w:pPr>
              <w:bidi w:val="0"/>
              <w:jc w:val="start"/>
            </w:pPr>
            <w:r/>
            <w:r>
              <w:rPr>
                <w:b/>
                <w:color w:val="FFFFFF"/>
                <w:sz w:val="18"/>
              </w:rPr>
              <w:t>DOI</w:t>
            </w:r>
          </w:p>
        </w:tc>
        <w:tc>
          <w:tcPr>
            <w:tcW w:type="dxa" w:w="1152"/>
            <w:shd w:val="clear" w:color="auto" w:fill="FF7A00"/>
          </w:tcPr>
          <w:p>
            <w:pPr>
              <w:bidi w:val="0"/>
              <w:jc w:val="start"/>
            </w:pPr>
            <w:r/>
            <w:r>
              <w:rPr>
                <w:b/>
                <w:color w:val="FFFFFF"/>
                <w:sz w:val="18"/>
              </w:rPr>
              <w:t>Verified?</w:t>
            </w:r>
          </w:p>
        </w:tc>
        <w:tc>
          <w:tcPr>
            <w:tcW w:type="dxa" w:w="1440"/>
            <w:shd w:val="clear" w:color="auto" w:fill="FF7A00"/>
          </w:tcPr>
          <w:p>
            <w:pPr>
              <w:bidi w:val="0"/>
              <w:jc w:val="start"/>
            </w:pPr>
            <w:r/>
            <w:r>
              <w:rPr>
                <w:b/>
                <w:color w:val="FFFFFF"/>
                <w:sz w:val="18"/>
              </w:rPr>
              <w:t>Evidence extracted?</w:t>
            </w:r>
          </w:p>
        </w:tc>
        <w:tc>
          <w:tcPr>
            <w:tcW w:type="dxa" w:w="1296"/>
            <w:shd w:val="clear" w:color="auto" w:fill="FF7A00"/>
          </w:tcPr>
          <w:p>
            <w:pPr>
              <w:bidi w:val="0"/>
              <w:jc w:val="start"/>
            </w:pPr>
            <w:r/>
            <w:r>
              <w:rPr>
                <w:b/>
                <w:color w:val="FFFFFF"/>
                <w:sz w:val="18"/>
              </w:rPr>
              <w:t>Claim support</w:t>
            </w:r>
          </w:p>
        </w:tc>
      </w:tr>
      <w:tr>
        <w:trPr>
          <w:cantSplit/>
        </w:trPr>
        <w:tc>
          <w:tcPr>
            <w:tcW w:type="dxa" w:w="720"/>
          </w:tcPr>
          <w:p>
            <w:pPr>
              <w:bidi w:val="0"/>
              <w:jc w:val="start"/>
            </w:pPr>
            <w:r/>
            <w:r>
              <w:rPr>
                <w:sz w:val="18"/>
              </w:rPr>
              <w:t>S1</w:t>
            </w:r>
          </w:p>
        </w:tc>
        <w:tc>
          <w:tcPr>
            <w:tcW w:type="dxa" w:w="4032"/>
          </w:tcPr>
          <w:p>
            <w:pPr>
              <w:bidi w:val="0"/>
              <w:jc w:val="start"/>
            </w:pPr>
            <w:r/>
            <w:r>
              <w:rPr>
                <w:sz w:val="18"/>
              </w:rPr>
              <w:t>Adema, J. (2021). Living Books. The MIT Press eBooks. https://doi.org/10.7551/mitpress/11297.001.0001</w:t>
            </w:r>
          </w:p>
        </w:tc>
        <w:tc>
          <w:tcPr>
            <w:tcW w:type="dxa" w:w="1872"/>
          </w:tcPr>
          <w:p>
            <w:pPr>
              <w:bidi w:val="0"/>
              <w:jc w:val="start"/>
            </w:pPr>
            <w:r/>
            <w:r>
              <w:rPr>
                <w:sz w:val="18"/>
              </w:rPr>
              <w:t>10.7551/mitpress/11297.001.0001</w:t>
            </w:r>
          </w:p>
        </w:tc>
        <w:tc>
          <w:tcPr>
            <w:tcW w:type="dxa" w:w="1152"/>
          </w:tcPr>
          <w:p>
            <w:pPr>
              <w:bidi w:val="0"/>
              <w:jc w:val="start"/>
            </w:pPr>
            <w:r/>
            <w:r>
              <w:rPr>
                <w:sz w:val="18"/>
              </w:rPr>
              <w:t>Yes</w:t>
            </w:r>
          </w:p>
        </w:tc>
        <w:tc>
          <w:tcPr>
            <w:tcW w:type="dxa" w:w="1440"/>
          </w:tcPr>
          <w:p>
            <w:pPr>
              <w:bidi w:val="0"/>
              <w:jc w:val="start"/>
            </w:pPr>
            <w:r/>
            <w:r>
              <w:rPr>
                <w:sz w:val="18"/>
              </w:rPr>
              <w:t>Yes</w:t>
            </w:r>
          </w:p>
        </w:tc>
        <w:tc>
          <w:tcPr>
            <w:tcW w:type="dxa" w:w="1296"/>
          </w:tcPr>
          <w:p>
            <w:pPr>
              <w:bidi w:val="0"/>
              <w:jc w:val="start"/>
            </w:pPr>
            <w:r/>
            <w:r>
              <w:rPr>
                <w:sz w:val="18"/>
              </w:rPr>
              <w:t>Supports</w:t>
            </w:r>
          </w:p>
        </w:tc>
      </w:tr>
      <w:tr>
        <w:trPr>
          <w:cantSplit/>
        </w:trPr>
        <w:tc>
          <w:tcPr>
            <w:tcW w:type="dxa" w:w="720"/>
            <w:shd w:val="clear" w:color="auto" w:fill="FFF5EB"/>
          </w:tcPr>
          <w:p>
            <w:pPr>
              <w:bidi w:val="0"/>
              <w:jc w:val="start"/>
            </w:pPr>
            <w:r/>
            <w:r>
              <w:rPr>
                <w:sz w:val="18"/>
              </w:rPr>
              <w:t>S2</w:t>
            </w:r>
          </w:p>
        </w:tc>
        <w:tc>
          <w:tcPr>
            <w:tcW w:type="dxa" w:w="4032"/>
            <w:shd w:val="clear" w:color="auto" w:fill="FFF5EB"/>
          </w:tcPr>
          <w:p>
            <w:pPr>
              <w:bidi w:val="0"/>
              <w:jc w:val="start"/>
            </w:pPr>
            <w:r/>
            <w:r>
              <w:rPr>
                <w:sz w:val="18"/>
              </w:rPr>
              <w:t>Zeilinger, M. (2021). Tactical entanglements: AI art, creative agency, and the limits of intellectual property. Social Science Open Access Repository (GESIS – Leibniz Institute for the Social Sciences). https://doi.org/10.14619/1839</w:t>
            </w:r>
          </w:p>
        </w:tc>
        <w:tc>
          <w:tcPr>
            <w:tcW w:type="dxa" w:w="1872"/>
            <w:shd w:val="clear" w:color="auto" w:fill="FFF5EB"/>
          </w:tcPr>
          <w:p>
            <w:pPr>
              <w:bidi w:val="0"/>
              <w:jc w:val="start"/>
            </w:pPr>
            <w:r/>
            <w:r>
              <w:rPr>
                <w:sz w:val="18"/>
              </w:rPr>
              <w:t>10.14619/1839</w:t>
            </w:r>
          </w:p>
        </w:tc>
        <w:tc>
          <w:tcPr>
            <w:tcW w:type="dxa" w:w="1152"/>
            <w:shd w:val="clear" w:color="auto" w:fill="FFF5EB"/>
          </w:tcPr>
          <w:p>
            <w:pPr>
              <w:bidi w:val="0"/>
              <w:jc w:val="start"/>
            </w:pPr>
            <w:r/>
            <w:r>
              <w:rPr>
                <w:sz w:val="18"/>
              </w:rPr>
              <w:t>No</w:t>
            </w:r>
          </w:p>
        </w:tc>
        <w:tc>
          <w:tcPr>
            <w:tcW w:type="dxa" w:w="1440"/>
            <w:shd w:val="clear" w:color="auto" w:fill="FFF5EB"/>
          </w:tcPr>
          <w:p>
            <w:pPr>
              <w:bidi w:val="0"/>
              <w:jc w:val="start"/>
            </w:pPr>
            <w:r/>
            <w:r>
              <w:rPr>
                <w:sz w:val="18"/>
              </w:rPr>
              <w:t>Yes</w:t>
            </w:r>
          </w:p>
        </w:tc>
        <w:tc>
          <w:tcPr>
            <w:tcW w:type="dxa" w:w="1296"/>
            <w:shd w:val="clear" w:color="auto" w:fill="FFF5EB"/>
          </w:tcPr>
          <w:p>
            <w:pPr>
              <w:bidi w:val="0"/>
              <w:jc w:val="start"/>
            </w:pPr>
            <w:r/>
            <w:r>
              <w:rPr>
                <w:sz w:val="18"/>
              </w:rPr>
              <w:t>Partial</w:t>
            </w:r>
          </w:p>
        </w:tc>
      </w:tr>
      <w:tr>
        <w:trPr>
          <w:cantSplit/>
        </w:trPr>
        <w:tc>
          <w:tcPr>
            <w:tcW w:type="dxa" w:w="720"/>
          </w:tcPr>
          <w:p>
            <w:pPr>
              <w:bidi w:val="0"/>
              <w:jc w:val="start"/>
            </w:pPr>
            <w:r/>
            <w:r>
              <w:rPr>
                <w:sz w:val="18"/>
              </w:rPr>
              <w:t>S3</w:t>
            </w:r>
          </w:p>
        </w:tc>
        <w:tc>
          <w:tcPr>
            <w:tcW w:type="dxa" w:w="4032"/>
          </w:tcPr>
          <w:p>
            <w:pPr>
              <w:bidi w:val="0"/>
              <w:jc w:val="start"/>
            </w:pPr>
            <w:r/>
            <w:r>
              <w:rPr>
                <w:sz w:val="18"/>
              </w:rPr>
              <w:t>Israel, M. J., &amp; Amer, A. (2022). Rethinking data infrastructure and its ethical implications in the face of automated digital content generation. AI and Ethics, 3(2), 427–439. https://doi.org/10.1007/s43681-022-00169-1</w:t>
            </w:r>
          </w:p>
        </w:tc>
        <w:tc>
          <w:tcPr>
            <w:tcW w:type="dxa" w:w="1872"/>
          </w:tcPr>
          <w:p>
            <w:pPr>
              <w:bidi w:val="0"/>
              <w:jc w:val="start"/>
            </w:pPr>
            <w:r/>
            <w:r>
              <w:rPr>
                <w:sz w:val="18"/>
              </w:rPr>
              <w:t>10.1007/s43681-022-00169-1</w:t>
            </w:r>
          </w:p>
        </w:tc>
        <w:tc>
          <w:tcPr>
            <w:tcW w:type="dxa" w:w="1152"/>
          </w:tcPr>
          <w:p>
            <w:pPr>
              <w:bidi w:val="0"/>
              <w:jc w:val="start"/>
            </w:pPr>
            <w:r/>
            <w:r>
              <w:rPr>
                <w:sz w:val="18"/>
              </w:rPr>
              <w:t>Yes</w:t>
            </w:r>
          </w:p>
        </w:tc>
        <w:tc>
          <w:tcPr>
            <w:tcW w:type="dxa" w:w="1440"/>
          </w:tcPr>
          <w:p>
            <w:pPr>
              <w:bidi w:val="0"/>
              <w:jc w:val="start"/>
            </w:pPr>
            <w:r/>
            <w:r>
              <w:rPr>
                <w:sz w:val="18"/>
              </w:rPr>
              <w:t>Yes</w:t>
            </w:r>
          </w:p>
        </w:tc>
        <w:tc>
          <w:tcPr>
            <w:tcW w:type="dxa" w:w="1296"/>
          </w:tcPr>
          <w:p>
            <w:pPr>
              <w:bidi w:val="0"/>
              <w:jc w:val="start"/>
            </w:pPr>
            <w:r/>
            <w:r>
              <w:rPr>
                <w:sz w:val="18"/>
              </w:rPr>
              <w:t>Supports</w:t>
            </w:r>
          </w:p>
        </w:tc>
      </w:tr>
      <w:tr>
        <w:trPr>
          <w:cantSplit/>
        </w:trPr>
        <w:tc>
          <w:tcPr>
            <w:tcW w:type="dxa" w:w="720"/>
            <w:shd w:val="clear" w:color="auto" w:fill="FFF5EB"/>
          </w:tcPr>
          <w:p>
            <w:pPr>
              <w:bidi w:val="0"/>
              <w:jc w:val="start"/>
            </w:pPr>
            <w:r/>
            <w:r>
              <w:rPr>
                <w:sz w:val="18"/>
              </w:rPr>
              <w:t>S4</w:t>
            </w:r>
          </w:p>
        </w:tc>
        <w:tc>
          <w:tcPr>
            <w:tcW w:type="dxa" w:w="4032"/>
            <w:shd w:val="clear" w:color="auto" w:fill="FFF5EB"/>
          </w:tcPr>
          <w:p>
            <w:pPr>
              <w:bidi w:val="0"/>
              <w:jc w:val="start"/>
            </w:pPr>
            <w:r/>
            <w:r>
              <w:rPr>
                <w:sz w:val="18"/>
              </w:rPr>
              <w:t>Knöchelmann, M. (2023). Authorship and Publishing in the Humanities. Cambridge University Press eBooks. https://doi.org/10.1017/9781009223089</w:t>
            </w:r>
          </w:p>
        </w:tc>
        <w:tc>
          <w:tcPr>
            <w:tcW w:type="dxa" w:w="1872"/>
            <w:shd w:val="clear" w:color="auto" w:fill="FFF5EB"/>
          </w:tcPr>
          <w:p>
            <w:pPr>
              <w:bidi w:val="0"/>
              <w:jc w:val="start"/>
            </w:pPr>
            <w:r/>
            <w:r>
              <w:rPr>
                <w:sz w:val="18"/>
              </w:rPr>
              <w:t>10.1017/9781009223089</w:t>
            </w:r>
          </w:p>
        </w:tc>
        <w:tc>
          <w:tcPr>
            <w:tcW w:type="dxa" w:w="1152"/>
            <w:shd w:val="clear" w:color="auto" w:fill="FFF5EB"/>
          </w:tcPr>
          <w:p>
            <w:pPr>
              <w:bidi w:val="0"/>
              <w:jc w:val="start"/>
            </w:pPr>
            <w:r/>
            <w:r>
              <w:rPr>
                <w:sz w:val="18"/>
              </w:rPr>
              <w:t>Yes</w:t>
            </w:r>
          </w:p>
        </w:tc>
        <w:tc>
          <w:tcPr>
            <w:tcW w:type="dxa" w:w="1440"/>
            <w:shd w:val="clear" w:color="auto" w:fill="FFF5EB"/>
          </w:tcPr>
          <w:p>
            <w:pPr>
              <w:bidi w:val="0"/>
              <w:jc w:val="start"/>
            </w:pPr>
            <w:r/>
            <w:r>
              <w:rPr>
                <w:sz w:val="18"/>
              </w:rPr>
              <w:t>Yes</w:t>
            </w:r>
          </w:p>
        </w:tc>
        <w:tc>
          <w:tcPr>
            <w:tcW w:type="dxa" w:w="1296"/>
            <w:shd w:val="clear" w:color="auto" w:fill="FFF5EB"/>
          </w:tcPr>
          <w:p>
            <w:pPr>
              <w:bidi w:val="0"/>
              <w:jc w:val="start"/>
            </w:pPr>
            <w:r/>
            <w:r>
              <w:rPr>
                <w:sz w:val="18"/>
              </w:rPr>
              <w:t>Not assessed</w:t>
            </w:r>
          </w:p>
        </w:tc>
      </w:tr>
      <w:tr>
        <w:trPr>
          <w:cantSplit/>
        </w:trPr>
        <w:tc>
          <w:tcPr>
            <w:tcW w:type="dxa" w:w="720"/>
          </w:tcPr>
          <w:p>
            <w:pPr>
              <w:bidi w:val="0"/>
              <w:jc w:val="start"/>
            </w:pPr>
            <w:r/>
            <w:r>
              <w:rPr>
                <w:sz w:val="18"/>
              </w:rPr>
              <w:t>S5</w:t>
            </w:r>
          </w:p>
        </w:tc>
        <w:tc>
          <w:tcPr>
            <w:tcW w:type="dxa" w:w="4032"/>
          </w:tcPr>
          <w:p>
            <w:pPr>
              <w:bidi w:val="0"/>
              <w:jc w:val="start"/>
            </w:pPr>
            <w:r/>
            <w:r>
              <w:rPr>
                <w:sz w:val="18"/>
              </w:rPr>
              <w:t>Rodrigues, T. V. (2025). Distant writing and the epistemology of authorship: On creativity, delegation, and plagiarism in the age of AI. International Journal of Social Sciences and Humanities Invention, 12(5), 8598–8613. https://doi.org/10.18535/ijsshi/v12i05.04</w:t>
            </w:r>
          </w:p>
        </w:tc>
        <w:tc>
          <w:tcPr>
            <w:tcW w:type="dxa" w:w="1872"/>
          </w:tcPr>
          <w:p>
            <w:pPr>
              <w:bidi w:val="0"/>
              <w:jc w:val="start"/>
            </w:pPr>
            <w:r/>
            <w:r>
              <w:rPr>
                <w:sz w:val="18"/>
              </w:rPr>
              <w:t>10.18535/ijsshi/v12i05.04</w:t>
            </w:r>
          </w:p>
        </w:tc>
        <w:tc>
          <w:tcPr>
            <w:tcW w:type="dxa" w:w="1152"/>
          </w:tcPr>
          <w:p>
            <w:pPr>
              <w:bidi w:val="0"/>
              <w:jc w:val="start"/>
            </w:pPr>
            <w:r/>
            <w:r>
              <w:rPr>
                <w:sz w:val="18"/>
              </w:rPr>
              <w:t>Yes</w:t>
            </w:r>
          </w:p>
        </w:tc>
        <w:tc>
          <w:tcPr>
            <w:tcW w:type="dxa" w:w="1440"/>
          </w:tcPr>
          <w:p>
            <w:pPr>
              <w:bidi w:val="0"/>
              <w:jc w:val="start"/>
            </w:pPr>
            <w:r/>
            <w:r>
              <w:rPr>
                <w:sz w:val="18"/>
              </w:rPr>
              <w:t>Yes</w:t>
            </w:r>
          </w:p>
        </w:tc>
        <w:tc>
          <w:tcPr>
            <w:tcW w:type="dxa" w:w="1296"/>
          </w:tcPr>
          <w:p>
            <w:pPr>
              <w:bidi w:val="0"/>
              <w:jc w:val="start"/>
            </w:pPr>
            <w:r/>
            <w:r>
              <w:rPr>
                <w:sz w:val="18"/>
              </w:rPr>
              <w:t>Supports</w:t>
            </w:r>
          </w:p>
        </w:tc>
      </w:tr>
      <w:tr>
        <w:trPr>
          <w:cantSplit/>
        </w:trPr>
        <w:tc>
          <w:tcPr>
            <w:tcW w:type="dxa" w:w="720"/>
            <w:shd w:val="clear" w:color="auto" w:fill="FFF5EB"/>
          </w:tcPr>
          <w:p>
            <w:pPr>
              <w:bidi w:val="0"/>
              <w:jc w:val="start"/>
            </w:pPr>
            <w:r/>
            <w:r>
              <w:rPr>
                <w:sz w:val="18"/>
              </w:rPr>
              <w:t>S6</w:t>
            </w:r>
          </w:p>
        </w:tc>
        <w:tc>
          <w:tcPr>
            <w:tcW w:type="dxa" w:w="4032"/>
            <w:shd w:val="clear" w:color="auto" w:fill="FFF5EB"/>
          </w:tcPr>
          <w:p>
            <w:pPr>
              <w:bidi w:val="0"/>
              <w:jc w:val="start"/>
            </w:pPr>
            <w:r/>
            <w:r>
              <w:rPr>
                <w:sz w:val="18"/>
              </w:rPr>
              <w:t>Henrickson, L. (2021). Towards a new sociology of the text: the hermeneutics of algorithmic authorship. Figshare. https://doi.org/10.26174/thesis.lboro.10596404.v1</w:t>
            </w:r>
          </w:p>
        </w:tc>
        <w:tc>
          <w:tcPr>
            <w:tcW w:type="dxa" w:w="1872"/>
            <w:shd w:val="clear" w:color="auto" w:fill="FFF5EB"/>
          </w:tcPr>
          <w:p>
            <w:pPr>
              <w:bidi w:val="0"/>
              <w:jc w:val="start"/>
            </w:pPr>
            <w:r/>
            <w:r>
              <w:rPr>
                <w:sz w:val="18"/>
              </w:rPr>
              <w:t>10.26174/thesis.lboro.10596404.v1</w:t>
            </w:r>
          </w:p>
        </w:tc>
        <w:tc>
          <w:tcPr>
            <w:tcW w:type="dxa" w:w="1152"/>
            <w:shd w:val="clear" w:color="auto" w:fill="FFF5EB"/>
          </w:tcPr>
          <w:p>
            <w:pPr>
              <w:bidi w:val="0"/>
              <w:jc w:val="start"/>
            </w:pPr>
            <w:r/>
            <w:r>
              <w:rPr>
                <w:sz w:val="18"/>
              </w:rPr>
              <w:t>No</w:t>
            </w:r>
          </w:p>
        </w:tc>
        <w:tc>
          <w:tcPr>
            <w:tcW w:type="dxa" w:w="1440"/>
            <w:shd w:val="clear" w:color="auto" w:fill="FFF5EB"/>
          </w:tcPr>
          <w:p>
            <w:pPr>
              <w:bidi w:val="0"/>
              <w:jc w:val="start"/>
            </w:pPr>
            <w:r/>
            <w:r>
              <w:rPr>
                <w:sz w:val="18"/>
              </w:rPr>
              <w:t>Yes</w:t>
            </w:r>
          </w:p>
        </w:tc>
        <w:tc>
          <w:tcPr>
            <w:tcW w:type="dxa" w:w="1296"/>
            <w:shd w:val="clear" w:color="auto" w:fill="FFF5EB"/>
          </w:tcPr>
          <w:p>
            <w:pPr>
              <w:bidi w:val="0"/>
              <w:jc w:val="start"/>
            </w:pPr>
            <w:r/>
            <w:r>
              <w:rPr>
                <w:sz w:val="18"/>
              </w:rPr>
              <w:t>Not assessed</w:t>
            </w:r>
          </w:p>
        </w:tc>
      </w:tr>
      <w:tr>
        <w:trPr>
          <w:cantSplit/>
        </w:trPr>
        <w:tc>
          <w:tcPr>
            <w:tcW w:type="dxa" w:w="720"/>
          </w:tcPr>
          <w:p>
            <w:pPr>
              <w:bidi w:val="0"/>
              <w:jc w:val="start"/>
            </w:pPr>
            <w:r/>
            <w:r>
              <w:rPr>
                <w:sz w:val="18"/>
              </w:rPr>
              <w:t>S7</w:t>
            </w:r>
          </w:p>
        </w:tc>
        <w:tc>
          <w:tcPr>
            <w:tcW w:type="dxa" w:w="4032"/>
          </w:tcPr>
          <w:p>
            <w:pPr>
              <w:bidi w:val="0"/>
              <w:jc w:val="start"/>
            </w:pPr>
            <w:r/>
            <w:r>
              <w:rPr>
                <w:sz w:val="18"/>
              </w:rPr>
              <w:t>Fenwick, M., &amp; Jurcys, P. (2023). Originality and the future of copyright in an age of generative AI. Computer Law &amp;amp; Security Review, 51, 105892. https://doi.org/10.1016/j.clsr.2023.105892</w:t>
            </w:r>
          </w:p>
        </w:tc>
        <w:tc>
          <w:tcPr>
            <w:tcW w:type="dxa" w:w="1872"/>
          </w:tcPr>
          <w:p>
            <w:pPr>
              <w:bidi w:val="0"/>
              <w:jc w:val="start"/>
            </w:pPr>
            <w:r/>
            <w:r>
              <w:rPr>
                <w:sz w:val="18"/>
              </w:rPr>
              <w:t>10.1016/j.clsr.2023.105892</w:t>
            </w:r>
          </w:p>
        </w:tc>
        <w:tc>
          <w:tcPr>
            <w:tcW w:type="dxa" w:w="1152"/>
          </w:tcPr>
          <w:p>
            <w:pPr>
              <w:bidi w:val="0"/>
              <w:jc w:val="start"/>
            </w:pPr>
            <w:r/>
            <w:r>
              <w:rPr>
                <w:sz w:val="18"/>
              </w:rPr>
              <w:t>Yes</w:t>
            </w:r>
          </w:p>
        </w:tc>
        <w:tc>
          <w:tcPr>
            <w:tcW w:type="dxa" w:w="1440"/>
          </w:tcPr>
          <w:p>
            <w:pPr>
              <w:bidi w:val="0"/>
              <w:jc w:val="start"/>
            </w:pPr>
            <w:r/>
            <w:r>
              <w:rPr>
                <w:sz w:val="18"/>
              </w:rPr>
              <w:t>No</w:t>
            </w:r>
          </w:p>
        </w:tc>
        <w:tc>
          <w:tcPr>
            <w:tcW w:type="dxa" w:w="1296"/>
          </w:tcPr>
          <w:p>
            <w:pPr>
              <w:bidi w:val="0"/>
              <w:jc w:val="start"/>
            </w:pPr>
            <w:r/>
            <w:r>
              <w:rPr>
                <w:sz w:val="18"/>
              </w:rPr>
              <w:t>Partial</w:t>
            </w:r>
          </w:p>
        </w:tc>
      </w:tr>
      <w:tr>
        <w:trPr>
          <w:cantSplit/>
        </w:trPr>
        <w:tc>
          <w:tcPr>
            <w:tcW w:type="dxa" w:w="720"/>
            <w:shd w:val="clear" w:color="auto" w:fill="FFF5EB"/>
          </w:tcPr>
          <w:p>
            <w:pPr>
              <w:bidi w:val="0"/>
              <w:jc w:val="start"/>
            </w:pPr>
            <w:r/>
            <w:r>
              <w:rPr>
                <w:sz w:val="18"/>
              </w:rPr>
              <w:t>S8</w:t>
            </w:r>
          </w:p>
        </w:tc>
        <w:tc>
          <w:tcPr>
            <w:tcW w:type="dxa" w:w="4032"/>
            <w:shd w:val="clear" w:color="auto" w:fill="FFF5EB"/>
          </w:tcPr>
          <w:p>
            <w:pPr>
              <w:bidi w:val="0"/>
              <w:jc w:val="start"/>
            </w:pPr>
            <w:r/>
            <w:r>
              <w:rPr>
                <w:sz w:val="18"/>
              </w:rPr>
              <w:t>Bajohr, H. (2024). Writing at a Distance: Notes on Authorship and Artificial Intelligence. German Studies Review, 47(2), 315–337. https://doi.org/10.1353/gsr.2024.a927862</w:t>
            </w:r>
          </w:p>
        </w:tc>
        <w:tc>
          <w:tcPr>
            <w:tcW w:type="dxa" w:w="1872"/>
            <w:shd w:val="clear" w:color="auto" w:fill="FFF5EB"/>
          </w:tcPr>
          <w:p>
            <w:pPr>
              <w:bidi w:val="0"/>
              <w:jc w:val="start"/>
            </w:pPr>
            <w:r/>
            <w:r>
              <w:rPr>
                <w:sz w:val="18"/>
              </w:rPr>
              <w:t>10.1353/gsr.2024.a927862</w:t>
            </w:r>
          </w:p>
        </w:tc>
        <w:tc>
          <w:tcPr>
            <w:tcW w:type="dxa" w:w="1152"/>
            <w:shd w:val="clear" w:color="auto" w:fill="FFF5EB"/>
          </w:tcPr>
          <w:p>
            <w:pPr>
              <w:bidi w:val="0"/>
              <w:jc w:val="start"/>
            </w:pPr>
            <w:r/>
            <w:r>
              <w:rPr>
                <w:sz w:val="18"/>
              </w:rPr>
              <w:t>Yes</w:t>
            </w:r>
          </w:p>
        </w:tc>
        <w:tc>
          <w:tcPr>
            <w:tcW w:type="dxa" w:w="1440"/>
            <w:shd w:val="clear" w:color="auto" w:fill="FFF5EB"/>
          </w:tcPr>
          <w:p>
            <w:pPr>
              <w:bidi w:val="0"/>
              <w:jc w:val="start"/>
            </w:pPr>
            <w:r/>
            <w:r>
              <w:rPr>
                <w:sz w:val="18"/>
              </w:rPr>
              <w:t>Yes</w:t>
            </w:r>
          </w:p>
        </w:tc>
        <w:tc>
          <w:tcPr>
            <w:tcW w:type="dxa" w:w="1296"/>
            <w:shd w:val="clear" w:color="auto" w:fill="FFF5EB"/>
          </w:tcPr>
          <w:p>
            <w:pPr>
              <w:bidi w:val="0"/>
              <w:jc w:val="start"/>
            </w:pPr>
            <w:r/>
            <w:r>
              <w:rPr>
                <w:sz w:val="18"/>
              </w:rPr>
              <w:t>Supports</w:t>
            </w:r>
          </w:p>
        </w:tc>
      </w:tr>
      <w:tr>
        <w:trPr>
          <w:cantSplit/>
        </w:trPr>
        <w:tc>
          <w:tcPr>
            <w:tcW w:type="dxa" w:w="720"/>
          </w:tcPr>
          <w:p>
            <w:pPr>
              <w:bidi w:val="0"/>
              <w:jc w:val="start"/>
            </w:pPr>
            <w:r/>
            <w:r>
              <w:rPr>
                <w:sz w:val="18"/>
              </w:rPr>
              <w:t>S9</w:t>
            </w:r>
          </w:p>
        </w:tc>
        <w:tc>
          <w:tcPr>
            <w:tcW w:type="dxa" w:w="4032"/>
          </w:tcPr>
          <w:p>
            <w:pPr>
              <w:bidi w:val="0"/>
              <w:jc w:val="start"/>
            </w:pPr>
            <w:r/>
            <w:r>
              <w:rPr>
                <w:sz w:val="18"/>
              </w:rPr>
              <w:t>Birkstedt, T., Minkkinen, M., Tandon, A., &amp; Mäntymäki, M. (2023). AI governance: themes, knowledge gaps and future agendas. Internet Research, 33(7), 133–167. https://doi.org/10.1108/intr-01-2022-0042</w:t>
            </w:r>
          </w:p>
        </w:tc>
        <w:tc>
          <w:tcPr>
            <w:tcW w:type="dxa" w:w="1872"/>
          </w:tcPr>
          <w:p>
            <w:pPr>
              <w:bidi w:val="0"/>
              <w:jc w:val="start"/>
            </w:pPr>
            <w:r/>
            <w:r>
              <w:rPr>
                <w:sz w:val="18"/>
              </w:rPr>
              <w:t>10.1108/intr-01-2022-0042</w:t>
            </w:r>
          </w:p>
        </w:tc>
        <w:tc>
          <w:tcPr>
            <w:tcW w:type="dxa" w:w="1152"/>
          </w:tcPr>
          <w:p>
            <w:pPr>
              <w:bidi w:val="0"/>
              <w:jc w:val="start"/>
            </w:pPr>
            <w:r/>
            <w:r>
              <w:rPr>
                <w:sz w:val="18"/>
              </w:rPr>
              <w:t>Yes</w:t>
            </w:r>
          </w:p>
        </w:tc>
        <w:tc>
          <w:tcPr>
            <w:tcW w:type="dxa" w:w="1440"/>
          </w:tcPr>
          <w:p>
            <w:pPr>
              <w:bidi w:val="0"/>
              <w:jc w:val="start"/>
            </w:pPr>
            <w:r/>
            <w:r>
              <w:rPr>
                <w:sz w:val="18"/>
              </w:rPr>
              <w:t>Yes</w:t>
            </w:r>
          </w:p>
        </w:tc>
        <w:tc>
          <w:tcPr>
            <w:tcW w:type="dxa" w:w="1296"/>
          </w:tcPr>
          <w:p>
            <w:pPr>
              <w:bidi w:val="0"/>
              <w:jc w:val="start"/>
            </w:pPr>
            <w:r/>
            <w:r>
              <w:rPr>
                <w:sz w:val="18"/>
              </w:rPr>
              <w:t>Supports</w:t>
            </w:r>
          </w:p>
        </w:tc>
      </w:tr>
      <w:tr>
        <w:trPr>
          <w:cantSplit/>
        </w:trPr>
        <w:tc>
          <w:tcPr>
            <w:tcW w:type="dxa" w:w="720"/>
            <w:shd w:val="clear" w:color="auto" w:fill="FFF5EB"/>
          </w:tcPr>
          <w:p>
            <w:pPr>
              <w:bidi w:val="0"/>
              <w:jc w:val="start"/>
            </w:pPr>
            <w:r/>
            <w:r>
              <w:rPr>
                <w:sz w:val="18"/>
              </w:rPr>
              <w:t>S10</w:t>
            </w:r>
          </w:p>
        </w:tc>
        <w:tc>
          <w:tcPr>
            <w:tcW w:type="dxa" w:w="4032"/>
            <w:shd w:val="clear" w:color="auto" w:fill="FFF5EB"/>
          </w:tcPr>
          <w:p>
            <w:pPr>
              <w:bidi w:val="0"/>
              <w:jc w:val="start"/>
            </w:pPr>
            <w:r/>
            <w:r>
              <w:rPr>
                <w:sz w:val="18"/>
              </w:rPr>
              <w:t>Fathallah, J. M. (2017). Fanfiction and the Author. Amsterdam University Press eBooks. https://doi.org/10.1515/9789048529087</w:t>
            </w:r>
          </w:p>
        </w:tc>
        <w:tc>
          <w:tcPr>
            <w:tcW w:type="dxa" w:w="1872"/>
            <w:shd w:val="clear" w:color="auto" w:fill="FFF5EB"/>
          </w:tcPr>
          <w:p>
            <w:pPr>
              <w:bidi w:val="0"/>
              <w:jc w:val="start"/>
            </w:pPr>
            <w:r/>
            <w:r>
              <w:rPr>
                <w:sz w:val="18"/>
              </w:rPr>
              <w:t>10.1515/9789048529087</w:t>
            </w:r>
          </w:p>
        </w:tc>
        <w:tc>
          <w:tcPr>
            <w:tcW w:type="dxa" w:w="1152"/>
            <w:shd w:val="clear" w:color="auto" w:fill="FFF5EB"/>
          </w:tcPr>
          <w:p>
            <w:pPr>
              <w:bidi w:val="0"/>
              <w:jc w:val="start"/>
            </w:pPr>
            <w:r/>
            <w:r>
              <w:rPr>
                <w:sz w:val="18"/>
              </w:rPr>
              <w:t>Yes</w:t>
            </w:r>
          </w:p>
        </w:tc>
        <w:tc>
          <w:tcPr>
            <w:tcW w:type="dxa" w:w="1440"/>
            <w:shd w:val="clear" w:color="auto" w:fill="FFF5EB"/>
          </w:tcPr>
          <w:p>
            <w:pPr>
              <w:bidi w:val="0"/>
              <w:jc w:val="start"/>
            </w:pPr>
            <w:r/>
            <w:r>
              <w:rPr>
                <w:sz w:val="18"/>
              </w:rPr>
              <w:t>Yes</w:t>
            </w:r>
          </w:p>
        </w:tc>
        <w:tc>
          <w:tcPr>
            <w:tcW w:type="dxa" w:w="1296"/>
            <w:shd w:val="clear" w:color="auto" w:fill="FFF5EB"/>
          </w:tcPr>
          <w:p>
            <w:pPr>
              <w:bidi w:val="0"/>
              <w:jc w:val="start"/>
            </w:pPr>
            <w:r/>
            <w:r>
              <w:rPr>
                <w:sz w:val="18"/>
              </w:rPr>
              <w:t>Not assessed</w:t>
            </w:r>
          </w:p>
        </w:tc>
      </w:tr>
      <w:tr>
        <w:trPr>
          <w:cantSplit/>
        </w:trPr>
        <w:tc>
          <w:tcPr>
            <w:tcW w:type="dxa" w:w="720"/>
          </w:tcPr>
          <w:p>
            <w:pPr>
              <w:bidi w:val="0"/>
              <w:jc w:val="start"/>
            </w:pPr>
            <w:r/>
            <w:r>
              <w:rPr>
                <w:sz w:val="18"/>
              </w:rPr>
              <w:t>S11</w:t>
            </w:r>
          </w:p>
        </w:tc>
        <w:tc>
          <w:tcPr>
            <w:tcW w:type="dxa" w:w="4032"/>
          </w:tcPr>
          <w:p>
            <w:pPr>
              <w:bidi w:val="0"/>
              <w:jc w:val="start"/>
            </w:pPr>
            <w:r/>
            <w:r>
              <w:rPr>
                <w:sz w:val="18"/>
              </w:rPr>
              <w:t>Behzadi, L., Hämeen-Anttila, J., Ghersetti, A., Gutas, D., &amp; Görke, A. (2015). Concepts of authorship in pre-modern Arabic texts. Bamberger Orientstudien. https://doi.org/10.20378/irb-40118</w:t>
            </w:r>
          </w:p>
        </w:tc>
        <w:tc>
          <w:tcPr>
            <w:tcW w:type="dxa" w:w="1872"/>
          </w:tcPr>
          <w:p>
            <w:pPr>
              <w:bidi w:val="0"/>
              <w:jc w:val="start"/>
            </w:pPr>
            <w:r/>
            <w:r>
              <w:rPr>
                <w:sz w:val="18"/>
              </w:rPr>
              <w:t>10.20378/irb-40118</w:t>
            </w:r>
          </w:p>
        </w:tc>
        <w:tc>
          <w:tcPr>
            <w:tcW w:type="dxa" w:w="1152"/>
          </w:tcPr>
          <w:p>
            <w:pPr>
              <w:bidi w:val="0"/>
              <w:jc w:val="start"/>
            </w:pPr>
            <w:r/>
            <w:r>
              <w:rPr>
                <w:sz w:val="18"/>
              </w:rPr>
              <w:t>Yes</w:t>
            </w:r>
          </w:p>
        </w:tc>
        <w:tc>
          <w:tcPr>
            <w:tcW w:type="dxa" w:w="1440"/>
          </w:tcPr>
          <w:p>
            <w:pPr>
              <w:bidi w:val="0"/>
              <w:jc w:val="start"/>
            </w:pPr>
            <w:r/>
            <w:r>
              <w:rPr>
                <w:sz w:val="18"/>
              </w:rPr>
              <w:t>Yes</w:t>
            </w:r>
          </w:p>
        </w:tc>
        <w:tc>
          <w:tcPr>
            <w:tcW w:type="dxa" w:w="1296"/>
          </w:tcPr>
          <w:p>
            <w:pPr>
              <w:bidi w:val="0"/>
              <w:jc w:val="start"/>
            </w:pPr>
            <w:r/>
            <w:r>
              <w:rPr>
                <w:sz w:val="18"/>
              </w:rPr>
              <w:t>Partial</w:t>
            </w:r>
          </w:p>
        </w:tc>
      </w:tr>
      <w:tr>
        <w:trPr>
          <w:cantSplit/>
        </w:trPr>
        <w:tc>
          <w:tcPr>
            <w:tcW w:type="dxa" w:w="720"/>
            <w:shd w:val="clear" w:color="auto" w:fill="FFF5EB"/>
          </w:tcPr>
          <w:p>
            <w:pPr>
              <w:bidi w:val="0"/>
              <w:jc w:val="start"/>
            </w:pPr>
            <w:r/>
            <w:r>
              <w:rPr>
                <w:sz w:val="18"/>
              </w:rPr>
              <w:t>S12</w:t>
            </w:r>
          </w:p>
        </w:tc>
        <w:tc>
          <w:tcPr>
            <w:tcW w:type="dxa" w:w="4032"/>
            <w:shd w:val="clear" w:color="auto" w:fill="FFF5EB"/>
          </w:tcPr>
          <w:p>
            <w:pPr>
              <w:bidi w:val="0"/>
              <w:jc w:val="start"/>
            </w:pPr>
            <w:r/>
            <w:r>
              <w:rPr>
                <w:sz w:val="18"/>
              </w:rPr>
              <w:t>Barthes, R. (2017). The Death of the Author. The Continental Aesthetics Reader. https://doi.org/10.4324/9781351226387-35</w:t>
            </w:r>
          </w:p>
        </w:tc>
        <w:tc>
          <w:tcPr>
            <w:tcW w:type="dxa" w:w="1872"/>
            <w:shd w:val="clear" w:color="auto" w:fill="FFF5EB"/>
          </w:tcPr>
          <w:p>
            <w:pPr>
              <w:bidi w:val="0"/>
              <w:jc w:val="start"/>
            </w:pPr>
            <w:r/>
            <w:r>
              <w:rPr>
                <w:sz w:val="18"/>
              </w:rPr>
              <w:t>10.4324/9781351226387-35</w:t>
            </w:r>
          </w:p>
        </w:tc>
        <w:tc>
          <w:tcPr>
            <w:tcW w:type="dxa" w:w="1152"/>
            <w:shd w:val="clear" w:color="auto" w:fill="FFF5EB"/>
          </w:tcPr>
          <w:p>
            <w:pPr>
              <w:bidi w:val="0"/>
              <w:jc w:val="start"/>
            </w:pPr>
            <w:r/>
            <w:r>
              <w:rPr>
                <w:sz w:val="18"/>
              </w:rPr>
              <w:t>Yes</w:t>
            </w:r>
          </w:p>
        </w:tc>
        <w:tc>
          <w:tcPr>
            <w:tcW w:type="dxa" w:w="1440"/>
            <w:shd w:val="clear" w:color="auto" w:fill="FFF5EB"/>
          </w:tcPr>
          <w:p>
            <w:pPr>
              <w:bidi w:val="0"/>
              <w:jc w:val="start"/>
            </w:pPr>
            <w:r/>
            <w:r>
              <w:rPr>
                <w:sz w:val="18"/>
              </w:rPr>
              <w:t>No</w:t>
            </w:r>
          </w:p>
        </w:tc>
        <w:tc>
          <w:tcPr>
            <w:tcW w:type="dxa" w:w="1296"/>
            <w:shd w:val="clear" w:color="auto" w:fill="FFF5EB"/>
          </w:tcPr>
          <w:p>
            <w:pPr>
              <w:bidi w:val="0"/>
              <w:jc w:val="start"/>
            </w:pPr>
            <w:r/>
            <w:r>
              <w:rPr>
                <w:sz w:val="18"/>
              </w:rPr>
              <w:t>Not assessed</w:t>
            </w:r>
          </w:p>
        </w:tc>
      </w:tr>
      <w:tr>
        <w:trPr>
          <w:cantSplit/>
        </w:trPr>
        <w:tc>
          <w:tcPr>
            <w:tcW w:type="dxa" w:w="720"/>
          </w:tcPr>
          <w:p>
            <w:pPr>
              <w:bidi w:val="0"/>
              <w:jc w:val="start"/>
            </w:pPr>
            <w:r/>
            <w:r>
              <w:rPr>
                <w:sz w:val="18"/>
              </w:rPr>
              <w:t>S13</w:t>
            </w:r>
          </w:p>
        </w:tc>
        <w:tc>
          <w:tcPr>
            <w:tcW w:type="dxa" w:w="4032"/>
          </w:tcPr>
          <w:p>
            <w:pPr>
              <w:bidi w:val="0"/>
              <w:jc w:val="start"/>
            </w:pPr>
            <w:r/>
            <w:r>
              <w:rPr>
                <w:sz w:val="18"/>
              </w:rPr>
              <w:t>Foucault, M. (2019). What Is an Author?. Textual Strategies. https://doi.org/10.7591/9781501743429-006</w:t>
            </w:r>
          </w:p>
        </w:tc>
        <w:tc>
          <w:tcPr>
            <w:tcW w:type="dxa" w:w="1872"/>
          </w:tcPr>
          <w:p>
            <w:pPr>
              <w:bidi w:val="0"/>
              <w:jc w:val="start"/>
            </w:pPr>
            <w:r/>
            <w:r>
              <w:rPr>
                <w:sz w:val="18"/>
              </w:rPr>
              <w:t>10.7591/9781501743429-006</w:t>
            </w:r>
          </w:p>
        </w:tc>
        <w:tc>
          <w:tcPr>
            <w:tcW w:type="dxa" w:w="1152"/>
          </w:tcPr>
          <w:p>
            <w:pPr>
              <w:bidi w:val="0"/>
              <w:jc w:val="start"/>
            </w:pPr>
            <w:r/>
            <w:r>
              <w:rPr>
                <w:sz w:val="18"/>
              </w:rPr>
              <w:t>Yes</w:t>
            </w:r>
          </w:p>
        </w:tc>
        <w:tc>
          <w:tcPr>
            <w:tcW w:type="dxa" w:w="1440"/>
          </w:tcPr>
          <w:p>
            <w:pPr>
              <w:bidi w:val="0"/>
              <w:jc w:val="start"/>
            </w:pPr>
            <w:r/>
            <w:r>
              <w:rPr>
                <w:sz w:val="18"/>
              </w:rPr>
              <w:t>No</w:t>
            </w:r>
          </w:p>
        </w:tc>
        <w:tc>
          <w:tcPr>
            <w:tcW w:type="dxa" w:w="1296"/>
          </w:tcPr>
          <w:p>
            <w:pPr>
              <w:bidi w:val="0"/>
              <w:jc w:val="start"/>
            </w:pPr>
            <w:r/>
            <w:r>
              <w:rPr>
                <w:sz w:val="18"/>
              </w:rPr>
              <w:t>Not assessed</w:t>
            </w:r>
          </w:p>
        </w:tc>
      </w:tr>
    </w:tbl>
    <w:p/>
    <w:p>
      <w:pPr>
        <w:pStyle w:val="Heading1"/>
        <w:pBdr>
          <w:bottom w:val="single" w:sz="18" w:space="4" w:color="E06D00"/>
        </w:pBdr>
      </w:pPr>
      <w:r>
        <w:t>Source &amp; Citation Audit</w:t>
      </w:r>
    </w:p>
    <w:p>
      <w:pPr>
        <w:jc w:val="left"/>
      </w:pPr>
      <w:r>
        <w:rPr>
          <w:rFonts w:ascii="Times New Roman" w:hAnsi="Times New Roman"/>
          <w:b w:val="0"/>
          <w:color w:val="6B7280"/>
          <w:sz w:val="20"/>
        </w:rPr>
        <w:t>What we checked automatically. These are three different things and we keep them separate: whether the source exists (verified), whether we could extract what it says (evidence), and whether it backs the specific claim it is cited for (claim support).</w:t>
      </w:r>
    </w:p>
    <w:p>
      <w:pPr>
        <w:jc w:val="left"/>
      </w:pPr>
      <w:r>
        <w:rPr>
          <w:rFonts w:ascii="Times New Roman" w:hAnsi="Times New Roman"/>
          <w:b/>
          <w:sz w:val="22"/>
        </w:rPr>
        <w:t>11/13 verified · 10/13 with evidence extracted · 5/8 assessed claims directly supported</w:t>
      </w:r>
    </w:p>
    <w:p>
      <w:pPr>
        <w:jc w:val="left"/>
      </w:pPr>
      <w:r>
        <w:rPr>
          <w:rFonts w:ascii="Times New Roman" w:hAnsi="Times New Roman"/>
          <w:b w:val="0"/>
          <w:color w:val="6B7280"/>
          <w:sz w:val="18"/>
        </w:rPr>
        <w:t>Verification via Crossref confirms a source exists — it does NOT confirm the source supports the sentence it is cited for. Review each in-text citation yourself before submitting.</w:t>
      </w:r>
    </w:p>
    <w:tbl>
      <w:tblPr>
        <w:tblStyle w:val="TableGrid"/>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1440"/>
        <w:gridCol w:w="1440"/>
        <w:gridCol w:w="1440"/>
        <w:gridCol w:w="1440"/>
        <w:gridCol w:w="1440"/>
        <w:gridCol w:w="1440"/>
      </w:tblGrid>
      <w:tr>
        <w:trPr>
          <w:tblHeader/>
          <w:cantSplit/>
        </w:trPr>
        <w:tc>
          <w:tcPr>
            <w:tcW w:type="dxa" w:w="720"/>
            <w:shd w:val="clear" w:color="auto" w:fill="FF7A00"/>
          </w:tcPr>
          <w:p>
            <w:pPr>
              <w:bidi w:val="0"/>
              <w:jc w:val="start"/>
            </w:pPr>
            <w:r/>
            <w:r>
              <w:rPr>
                <w:b/>
                <w:color w:val="FFFFFF"/>
                <w:sz w:val="18"/>
              </w:rPr>
              <w:t>ID</w:t>
            </w:r>
          </w:p>
        </w:tc>
        <w:tc>
          <w:tcPr>
            <w:tcW w:type="dxa" w:w="1584"/>
            <w:shd w:val="clear" w:color="auto" w:fill="FF7A00"/>
          </w:tcPr>
          <w:p>
            <w:pPr>
              <w:bidi w:val="0"/>
              <w:jc w:val="start"/>
            </w:pPr>
            <w:r/>
            <w:r>
              <w:rPr>
                <w:b/>
                <w:color w:val="FFFFFF"/>
                <w:sz w:val="18"/>
              </w:rPr>
              <w:t>Status</w:t>
            </w:r>
          </w:p>
        </w:tc>
        <w:tc>
          <w:tcPr>
            <w:tcW w:type="dxa" w:w="1440"/>
            <w:shd w:val="clear" w:color="auto" w:fill="FF7A00"/>
          </w:tcPr>
          <w:p>
            <w:pPr>
              <w:bidi w:val="0"/>
              <w:jc w:val="start"/>
            </w:pPr>
            <w:r/>
            <w:r>
              <w:rPr>
                <w:b/>
                <w:color w:val="FFFFFF"/>
                <w:sz w:val="18"/>
              </w:rPr>
              <w:t>DOI verified</w:t>
            </w:r>
          </w:p>
        </w:tc>
        <w:tc>
          <w:tcPr>
            <w:tcW w:type="dxa" w:w="1872"/>
            <w:shd w:val="clear" w:color="auto" w:fill="FF7A00"/>
          </w:tcPr>
          <w:p>
            <w:pPr>
              <w:bidi w:val="0"/>
              <w:jc w:val="start"/>
            </w:pPr>
            <w:r/>
            <w:r>
              <w:rPr>
                <w:b/>
                <w:color w:val="FFFFFF"/>
                <w:sz w:val="18"/>
              </w:rPr>
              <w:t>Claim support</w:t>
            </w:r>
          </w:p>
        </w:tc>
        <w:tc>
          <w:tcPr>
            <w:tcW w:type="dxa" w:w="1440"/>
            <w:shd w:val="clear" w:color="auto" w:fill="FF7A00"/>
          </w:tcPr>
          <w:p>
            <w:pPr>
              <w:bidi w:val="0"/>
              <w:jc w:val="start"/>
            </w:pPr>
            <w:r/>
            <w:r>
              <w:rPr>
                <w:b/>
                <w:color w:val="FFFFFF"/>
                <w:sz w:val="18"/>
              </w:rPr>
              <w:t>Confidence</w:t>
            </w:r>
          </w:p>
        </w:tc>
        <w:tc>
          <w:tcPr>
            <w:tcW w:type="dxa" w:w="2592"/>
            <w:shd w:val="clear" w:color="auto" w:fill="FF7A00"/>
          </w:tcPr>
          <w:p>
            <w:pPr>
              <w:bidi w:val="0"/>
              <w:jc w:val="start"/>
            </w:pPr>
            <w:r/>
            <w:r>
              <w:rPr>
                <w:b/>
                <w:color w:val="FFFFFF"/>
                <w:sz w:val="18"/>
              </w:rPr>
              <w:t>Action</w:t>
            </w:r>
          </w:p>
        </w:tc>
      </w:tr>
      <w:tr>
        <w:trPr>
          <w:cantSplit/>
        </w:trPr>
        <w:tc>
          <w:tcPr>
            <w:tcW w:type="dxa" w:w="720"/>
          </w:tcPr>
          <w:p>
            <w:pPr>
              <w:bidi w:val="0"/>
              <w:jc w:val="start"/>
            </w:pPr>
            <w:r/>
            <w:r>
              <w:rPr>
                <w:sz w:val="18"/>
              </w:rPr>
              <w:t>S1</w:t>
            </w:r>
          </w:p>
        </w:tc>
        <w:tc>
          <w:tcPr>
            <w:tcW w:type="dxa" w:w="1584"/>
          </w:tcPr>
          <w:p>
            <w:pPr>
              <w:bidi w:val="0"/>
              <w:jc w:val="start"/>
            </w:pPr>
            <w:r/>
            <w:r>
              <w:rPr>
                <w:sz w:val="18"/>
              </w:rPr>
              <w:t>Verified</w:t>
            </w:r>
          </w:p>
        </w:tc>
        <w:tc>
          <w:tcPr>
            <w:tcW w:type="dxa" w:w="1440"/>
          </w:tcPr>
          <w:p>
            <w:pPr>
              <w:bidi w:val="0"/>
              <w:jc w:val="start"/>
            </w:pPr>
            <w:r/>
            <w:r>
              <w:rPr>
                <w:sz w:val="18"/>
              </w:rPr>
              <w:t>Yes</w:t>
            </w:r>
          </w:p>
        </w:tc>
        <w:tc>
          <w:tcPr>
            <w:tcW w:type="dxa" w:w="1872"/>
          </w:tcPr>
          <w:p>
            <w:pPr>
              <w:bidi w:val="0"/>
              <w:jc w:val="start"/>
            </w:pPr>
            <w:r/>
            <w:r>
              <w:rPr>
                <w:sz w:val="18"/>
              </w:rPr>
              <w:t>Supports</w:t>
            </w:r>
          </w:p>
        </w:tc>
        <w:tc>
          <w:tcPr>
            <w:tcW w:type="dxa" w:w="1440"/>
          </w:tcPr>
          <w:p>
            <w:pPr>
              <w:bidi w:val="0"/>
              <w:jc w:val="start"/>
            </w:pPr>
            <w:r/>
            <w:r>
              <w:rPr>
                <w:sz w:val="18"/>
              </w:rPr>
              <w:t>1.00</w:t>
            </w:r>
          </w:p>
        </w:tc>
        <w:tc>
          <w:tcPr>
            <w:tcW w:type="dxa" w:w="2592"/>
          </w:tcPr>
          <w:p>
            <w:pPr>
              <w:bidi w:val="0"/>
              <w:jc w:val="start"/>
            </w:pPr>
            <w:r/>
            <w:r>
              <w:rPr>
                <w:sz w:val="18"/>
              </w:rPr>
              <w:t>Keep</w:t>
            </w:r>
          </w:p>
        </w:tc>
      </w:tr>
      <w:tr>
        <w:trPr>
          <w:cantSplit/>
        </w:trPr>
        <w:tc>
          <w:tcPr>
            <w:tcW w:type="dxa" w:w="720"/>
            <w:shd w:val="clear" w:color="auto" w:fill="FFF5EB"/>
          </w:tcPr>
          <w:p>
            <w:pPr>
              <w:bidi w:val="0"/>
              <w:jc w:val="start"/>
            </w:pPr>
            <w:r/>
            <w:r>
              <w:rPr>
                <w:sz w:val="18"/>
              </w:rPr>
              <w:t>S2</w:t>
            </w:r>
          </w:p>
        </w:tc>
        <w:tc>
          <w:tcPr>
            <w:tcW w:type="dxa" w:w="1584"/>
            <w:shd w:val="clear" w:color="auto" w:fill="FFF5EB"/>
          </w:tcPr>
          <w:p>
            <w:pPr>
              <w:bidi w:val="0"/>
              <w:jc w:val="start"/>
            </w:pPr>
            <w:r/>
            <w:r>
              <w:rPr>
                <w:sz w:val="18"/>
              </w:rPr>
              <w:t>Details differ</w:t>
            </w:r>
          </w:p>
        </w:tc>
        <w:tc>
          <w:tcPr>
            <w:tcW w:type="dxa" w:w="1440"/>
            <w:shd w:val="clear" w:color="auto" w:fill="FFF5EB"/>
          </w:tcPr>
          <w:p>
            <w:pPr>
              <w:bidi w:val="0"/>
              <w:jc w:val="start"/>
            </w:pPr>
            <w:r/>
            <w:r>
              <w:rPr>
                <w:sz w:val="18"/>
              </w:rPr>
              <w:t>Yes</w:t>
            </w:r>
          </w:p>
        </w:tc>
        <w:tc>
          <w:tcPr>
            <w:tcW w:type="dxa" w:w="1872"/>
            <w:shd w:val="clear" w:color="auto" w:fill="FFF5EB"/>
          </w:tcPr>
          <w:p>
            <w:pPr>
              <w:bidi w:val="0"/>
              <w:jc w:val="start"/>
            </w:pPr>
            <w:r/>
            <w:r>
              <w:rPr>
                <w:sz w:val="18"/>
              </w:rPr>
              <w:t>Partial</w:t>
            </w:r>
          </w:p>
        </w:tc>
        <w:tc>
          <w:tcPr>
            <w:tcW w:type="dxa" w:w="1440"/>
            <w:shd w:val="clear" w:color="auto" w:fill="FFF5EB"/>
          </w:tcPr>
          <w:p>
            <w:pPr>
              <w:bidi w:val="0"/>
              <w:jc w:val="start"/>
            </w:pPr>
            <w:r/>
            <w:r>
              <w:rPr>
                <w:sz w:val="18"/>
              </w:rPr>
              <w:t>0.80</w:t>
            </w:r>
          </w:p>
        </w:tc>
        <w:tc>
          <w:tcPr>
            <w:tcW w:type="dxa" w:w="2592"/>
            <w:shd w:val="clear" w:color="auto" w:fill="FFF5EB"/>
          </w:tcPr>
          <w:p>
            <w:pPr>
              <w:bidi w:val="0"/>
              <w:jc w:val="start"/>
            </w:pPr>
            <w:r/>
            <w:r>
              <w:rPr>
                <w:sz w:val="18"/>
              </w:rPr>
              <w:t>Clarify / strengthen support</w:t>
            </w:r>
          </w:p>
        </w:tc>
      </w:tr>
      <w:tr>
        <w:trPr>
          <w:cantSplit/>
        </w:trPr>
        <w:tc>
          <w:tcPr>
            <w:tcW w:type="dxa" w:w="720"/>
          </w:tcPr>
          <w:p>
            <w:pPr>
              <w:bidi w:val="0"/>
              <w:jc w:val="start"/>
            </w:pPr>
            <w:r/>
            <w:r>
              <w:rPr>
                <w:sz w:val="18"/>
              </w:rPr>
              <w:t>S3</w:t>
            </w:r>
          </w:p>
        </w:tc>
        <w:tc>
          <w:tcPr>
            <w:tcW w:type="dxa" w:w="1584"/>
          </w:tcPr>
          <w:p>
            <w:pPr>
              <w:bidi w:val="0"/>
              <w:jc w:val="start"/>
            </w:pPr>
            <w:r/>
            <w:r>
              <w:rPr>
                <w:sz w:val="18"/>
              </w:rPr>
              <w:t>Verified</w:t>
            </w:r>
          </w:p>
        </w:tc>
        <w:tc>
          <w:tcPr>
            <w:tcW w:type="dxa" w:w="1440"/>
          </w:tcPr>
          <w:p>
            <w:pPr>
              <w:bidi w:val="0"/>
              <w:jc w:val="start"/>
            </w:pPr>
            <w:r/>
            <w:r>
              <w:rPr>
                <w:sz w:val="18"/>
              </w:rPr>
              <w:t>Yes</w:t>
            </w:r>
          </w:p>
        </w:tc>
        <w:tc>
          <w:tcPr>
            <w:tcW w:type="dxa" w:w="1872"/>
          </w:tcPr>
          <w:p>
            <w:pPr>
              <w:bidi w:val="0"/>
              <w:jc w:val="start"/>
            </w:pPr>
            <w:r/>
            <w:r>
              <w:rPr>
                <w:sz w:val="18"/>
              </w:rPr>
              <w:t>Supports</w:t>
            </w:r>
          </w:p>
        </w:tc>
        <w:tc>
          <w:tcPr>
            <w:tcW w:type="dxa" w:w="1440"/>
          </w:tcPr>
          <w:p>
            <w:pPr>
              <w:bidi w:val="0"/>
              <w:jc w:val="start"/>
            </w:pPr>
            <w:r/>
            <w:r>
              <w:rPr>
                <w:sz w:val="18"/>
              </w:rPr>
              <w:t>1.00</w:t>
            </w:r>
          </w:p>
        </w:tc>
        <w:tc>
          <w:tcPr>
            <w:tcW w:type="dxa" w:w="2592"/>
          </w:tcPr>
          <w:p>
            <w:pPr>
              <w:bidi w:val="0"/>
              <w:jc w:val="start"/>
            </w:pPr>
            <w:r/>
            <w:r>
              <w:rPr>
                <w:sz w:val="18"/>
              </w:rPr>
              <w:t>Keep</w:t>
            </w:r>
          </w:p>
        </w:tc>
      </w:tr>
      <w:tr>
        <w:trPr>
          <w:cantSplit/>
        </w:trPr>
        <w:tc>
          <w:tcPr>
            <w:tcW w:type="dxa" w:w="720"/>
            <w:shd w:val="clear" w:color="auto" w:fill="FFF5EB"/>
          </w:tcPr>
          <w:p>
            <w:pPr>
              <w:bidi w:val="0"/>
              <w:jc w:val="start"/>
            </w:pPr>
            <w:r/>
            <w:r>
              <w:rPr>
                <w:sz w:val="18"/>
              </w:rPr>
              <w:t>S4</w:t>
            </w:r>
          </w:p>
        </w:tc>
        <w:tc>
          <w:tcPr>
            <w:tcW w:type="dxa" w:w="1584"/>
            <w:shd w:val="clear" w:color="auto" w:fill="FFF5EB"/>
          </w:tcPr>
          <w:p>
            <w:pPr>
              <w:bidi w:val="0"/>
              <w:jc w:val="start"/>
            </w:pPr>
            <w:r/>
            <w:r>
              <w:rPr>
                <w:sz w:val="18"/>
              </w:rPr>
              <w:t>Verified</w:t>
            </w:r>
          </w:p>
        </w:tc>
        <w:tc>
          <w:tcPr>
            <w:tcW w:type="dxa" w:w="1440"/>
            <w:shd w:val="clear" w:color="auto" w:fill="FFF5EB"/>
          </w:tcPr>
          <w:p>
            <w:pPr>
              <w:bidi w:val="0"/>
              <w:jc w:val="start"/>
            </w:pPr>
            <w:r/>
            <w:r>
              <w:rPr>
                <w:sz w:val="18"/>
              </w:rPr>
              <w:t>Yes</w:t>
            </w:r>
          </w:p>
        </w:tc>
        <w:tc>
          <w:tcPr>
            <w:tcW w:type="dxa" w:w="1872"/>
            <w:shd w:val="clear" w:color="auto" w:fill="FFF5EB"/>
          </w:tcPr>
          <w:p>
            <w:pPr>
              <w:bidi w:val="0"/>
              <w:jc w:val="start"/>
            </w:pPr>
            <w:r/>
            <w:r>
              <w:rPr>
                <w:sz w:val="18"/>
              </w:rPr>
              <w:t>Not assessed</w:t>
            </w:r>
          </w:p>
        </w:tc>
        <w:tc>
          <w:tcPr>
            <w:tcW w:type="dxa" w:w="1440"/>
            <w:shd w:val="clear" w:color="auto" w:fill="FFF5EB"/>
          </w:tcPr>
          <w:p>
            <w:pPr>
              <w:bidi w:val="0"/>
              <w:jc w:val="start"/>
            </w:pPr>
            <w:r/>
            <w:r>
              <w:rPr>
                <w:sz w:val="18"/>
              </w:rPr>
              <w:t>—</w:t>
            </w:r>
          </w:p>
        </w:tc>
        <w:tc>
          <w:tcPr>
            <w:tcW w:type="dxa" w:w="2592"/>
            <w:shd w:val="clear" w:color="auto" w:fill="FFF5EB"/>
          </w:tcPr>
          <w:p>
            <w:pPr>
              <w:bidi w:val="0"/>
              <w:jc w:val="start"/>
            </w:pPr>
            <w:r/>
            <w:r>
              <w:rPr>
                <w:sz w:val="18"/>
              </w:rPr>
              <w:t>Verify manually</w:t>
            </w:r>
          </w:p>
        </w:tc>
      </w:tr>
      <w:tr>
        <w:trPr>
          <w:cantSplit/>
        </w:trPr>
        <w:tc>
          <w:tcPr>
            <w:tcW w:type="dxa" w:w="720"/>
          </w:tcPr>
          <w:p>
            <w:pPr>
              <w:bidi w:val="0"/>
              <w:jc w:val="start"/>
            </w:pPr>
            <w:r/>
            <w:r>
              <w:rPr>
                <w:sz w:val="18"/>
              </w:rPr>
              <w:t>S5</w:t>
            </w:r>
          </w:p>
        </w:tc>
        <w:tc>
          <w:tcPr>
            <w:tcW w:type="dxa" w:w="1584"/>
          </w:tcPr>
          <w:p>
            <w:pPr>
              <w:bidi w:val="0"/>
              <w:jc w:val="start"/>
            </w:pPr>
            <w:r/>
            <w:r>
              <w:rPr>
                <w:sz w:val="18"/>
              </w:rPr>
              <w:t>Verified</w:t>
            </w:r>
          </w:p>
        </w:tc>
        <w:tc>
          <w:tcPr>
            <w:tcW w:type="dxa" w:w="1440"/>
          </w:tcPr>
          <w:p>
            <w:pPr>
              <w:bidi w:val="0"/>
              <w:jc w:val="start"/>
            </w:pPr>
            <w:r/>
            <w:r>
              <w:rPr>
                <w:sz w:val="18"/>
              </w:rPr>
              <w:t>Yes</w:t>
            </w:r>
          </w:p>
        </w:tc>
        <w:tc>
          <w:tcPr>
            <w:tcW w:type="dxa" w:w="1872"/>
          </w:tcPr>
          <w:p>
            <w:pPr>
              <w:bidi w:val="0"/>
              <w:jc w:val="start"/>
            </w:pPr>
            <w:r/>
            <w:r>
              <w:rPr>
                <w:sz w:val="18"/>
              </w:rPr>
              <w:t>Supports</w:t>
            </w:r>
          </w:p>
        </w:tc>
        <w:tc>
          <w:tcPr>
            <w:tcW w:type="dxa" w:w="1440"/>
          </w:tcPr>
          <w:p>
            <w:pPr>
              <w:bidi w:val="0"/>
              <w:jc w:val="start"/>
            </w:pPr>
            <w:r/>
            <w:r>
              <w:rPr>
                <w:sz w:val="18"/>
              </w:rPr>
              <w:t>0.95</w:t>
            </w:r>
          </w:p>
        </w:tc>
        <w:tc>
          <w:tcPr>
            <w:tcW w:type="dxa" w:w="2592"/>
          </w:tcPr>
          <w:p>
            <w:pPr>
              <w:bidi w:val="0"/>
              <w:jc w:val="start"/>
            </w:pPr>
            <w:r/>
            <w:r>
              <w:rPr>
                <w:sz w:val="18"/>
              </w:rPr>
              <w:t>Keep</w:t>
            </w:r>
          </w:p>
        </w:tc>
      </w:tr>
      <w:tr>
        <w:trPr>
          <w:cantSplit/>
        </w:trPr>
        <w:tc>
          <w:tcPr>
            <w:tcW w:type="dxa" w:w="720"/>
            <w:shd w:val="clear" w:color="auto" w:fill="FFF5EB"/>
          </w:tcPr>
          <w:p>
            <w:pPr>
              <w:bidi w:val="0"/>
              <w:jc w:val="start"/>
            </w:pPr>
            <w:r/>
            <w:r>
              <w:rPr>
                <w:sz w:val="18"/>
              </w:rPr>
              <w:t>S6</w:t>
            </w:r>
          </w:p>
        </w:tc>
        <w:tc>
          <w:tcPr>
            <w:tcW w:type="dxa" w:w="1584"/>
            <w:shd w:val="clear" w:color="auto" w:fill="FFF5EB"/>
          </w:tcPr>
          <w:p>
            <w:pPr>
              <w:bidi w:val="0"/>
              <w:jc w:val="start"/>
            </w:pPr>
            <w:r/>
            <w:r>
              <w:rPr>
                <w:sz w:val="18"/>
              </w:rPr>
              <w:t>Not verified</w:t>
            </w:r>
          </w:p>
        </w:tc>
        <w:tc>
          <w:tcPr>
            <w:tcW w:type="dxa" w:w="1440"/>
            <w:shd w:val="clear" w:color="auto" w:fill="FFF5EB"/>
          </w:tcPr>
          <w:p>
            <w:pPr>
              <w:bidi w:val="0"/>
              <w:jc w:val="start"/>
            </w:pPr>
            <w:r/>
            <w:r>
              <w:rPr>
                <w:sz w:val="18"/>
              </w:rPr>
              <w:t>Yes</w:t>
            </w:r>
          </w:p>
        </w:tc>
        <w:tc>
          <w:tcPr>
            <w:tcW w:type="dxa" w:w="1872"/>
            <w:shd w:val="clear" w:color="auto" w:fill="FFF5EB"/>
          </w:tcPr>
          <w:p>
            <w:pPr>
              <w:bidi w:val="0"/>
              <w:jc w:val="start"/>
            </w:pPr>
            <w:r/>
            <w:r>
              <w:rPr>
                <w:sz w:val="18"/>
              </w:rPr>
              <w:t>Not assessed</w:t>
            </w:r>
          </w:p>
        </w:tc>
        <w:tc>
          <w:tcPr>
            <w:tcW w:type="dxa" w:w="1440"/>
            <w:shd w:val="clear" w:color="auto" w:fill="FFF5EB"/>
          </w:tcPr>
          <w:p>
            <w:pPr>
              <w:bidi w:val="0"/>
              <w:jc w:val="start"/>
            </w:pPr>
            <w:r/>
            <w:r>
              <w:rPr>
                <w:sz w:val="18"/>
              </w:rPr>
              <w:t>—</w:t>
            </w:r>
          </w:p>
        </w:tc>
        <w:tc>
          <w:tcPr>
            <w:tcW w:type="dxa" w:w="2592"/>
            <w:shd w:val="clear" w:color="auto" w:fill="FFF5EB"/>
          </w:tcPr>
          <w:p>
            <w:pPr>
              <w:bidi w:val="0"/>
              <w:jc w:val="start"/>
            </w:pPr>
            <w:r/>
            <w:r>
              <w:rPr>
                <w:sz w:val="18"/>
              </w:rPr>
              <w:t>Replace / find a stronger source</w:t>
            </w:r>
          </w:p>
        </w:tc>
      </w:tr>
      <w:tr>
        <w:trPr>
          <w:cantSplit/>
        </w:trPr>
        <w:tc>
          <w:tcPr>
            <w:tcW w:type="dxa" w:w="720"/>
          </w:tcPr>
          <w:p>
            <w:pPr>
              <w:bidi w:val="0"/>
              <w:jc w:val="start"/>
            </w:pPr>
            <w:r/>
            <w:r>
              <w:rPr>
                <w:sz w:val="18"/>
              </w:rPr>
              <w:t>S7</w:t>
            </w:r>
          </w:p>
        </w:tc>
        <w:tc>
          <w:tcPr>
            <w:tcW w:type="dxa" w:w="1584"/>
          </w:tcPr>
          <w:p>
            <w:pPr>
              <w:bidi w:val="0"/>
              <w:jc w:val="start"/>
            </w:pPr>
            <w:r/>
            <w:r>
              <w:rPr>
                <w:sz w:val="18"/>
              </w:rPr>
              <w:t>Verified</w:t>
            </w:r>
          </w:p>
        </w:tc>
        <w:tc>
          <w:tcPr>
            <w:tcW w:type="dxa" w:w="1440"/>
          </w:tcPr>
          <w:p>
            <w:pPr>
              <w:bidi w:val="0"/>
              <w:jc w:val="start"/>
            </w:pPr>
            <w:r/>
            <w:r>
              <w:rPr>
                <w:sz w:val="18"/>
              </w:rPr>
              <w:t>Yes</w:t>
            </w:r>
          </w:p>
        </w:tc>
        <w:tc>
          <w:tcPr>
            <w:tcW w:type="dxa" w:w="1872"/>
          </w:tcPr>
          <w:p>
            <w:pPr>
              <w:bidi w:val="0"/>
              <w:jc w:val="start"/>
            </w:pPr>
            <w:r/>
            <w:r>
              <w:rPr>
                <w:sz w:val="18"/>
              </w:rPr>
              <w:t>Partial</w:t>
            </w:r>
          </w:p>
        </w:tc>
        <w:tc>
          <w:tcPr>
            <w:tcW w:type="dxa" w:w="1440"/>
          </w:tcPr>
          <w:p>
            <w:pPr>
              <w:bidi w:val="0"/>
              <w:jc w:val="start"/>
            </w:pPr>
            <w:r/>
            <w:r>
              <w:rPr>
                <w:sz w:val="18"/>
              </w:rPr>
              <w:t>0.80</w:t>
            </w:r>
          </w:p>
        </w:tc>
        <w:tc>
          <w:tcPr>
            <w:tcW w:type="dxa" w:w="2592"/>
          </w:tcPr>
          <w:p>
            <w:pPr>
              <w:bidi w:val="0"/>
              <w:jc w:val="start"/>
            </w:pPr>
            <w:r/>
            <w:r>
              <w:rPr>
                <w:sz w:val="18"/>
              </w:rPr>
              <w:t>Clarify / strengthen support</w:t>
            </w:r>
          </w:p>
        </w:tc>
      </w:tr>
      <w:tr>
        <w:trPr>
          <w:cantSplit/>
        </w:trPr>
        <w:tc>
          <w:tcPr>
            <w:tcW w:type="dxa" w:w="720"/>
            <w:shd w:val="clear" w:color="auto" w:fill="FFF5EB"/>
          </w:tcPr>
          <w:p>
            <w:pPr>
              <w:bidi w:val="0"/>
              <w:jc w:val="start"/>
            </w:pPr>
            <w:r/>
            <w:r>
              <w:rPr>
                <w:sz w:val="18"/>
              </w:rPr>
              <w:t>S8</w:t>
            </w:r>
          </w:p>
        </w:tc>
        <w:tc>
          <w:tcPr>
            <w:tcW w:type="dxa" w:w="1584"/>
            <w:shd w:val="clear" w:color="auto" w:fill="FFF5EB"/>
          </w:tcPr>
          <w:p>
            <w:pPr>
              <w:bidi w:val="0"/>
              <w:jc w:val="start"/>
            </w:pPr>
            <w:r/>
            <w:r>
              <w:rPr>
                <w:sz w:val="18"/>
              </w:rPr>
              <w:t>Verified</w:t>
            </w:r>
          </w:p>
        </w:tc>
        <w:tc>
          <w:tcPr>
            <w:tcW w:type="dxa" w:w="1440"/>
            <w:shd w:val="clear" w:color="auto" w:fill="FFF5EB"/>
          </w:tcPr>
          <w:p>
            <w:pPr>
              <w:bidi w:val="0"/>
              <w:jc w:val="start"/>
            </w:pPr>
            <w:r/>
            <w:r>
              <w:rPr>
                <w:sz w:val="18"/>
              </w:rPr>
              <w:t>Yes</w:t>
            </w:r>
          </w:p>
        </w:tc>
        <w:tc>
          <w:tcPr>
            <w:tcW w:type="dxa" w:w="1872"/>
            <w:shd w:val="clear" w:color="auto" w:fill="FFF5EB"/>
          </w:tcPr>
          <w:p>
            <w:pPr>
              <w:bidi w:val="0"/>
              <w:jc w:val="start"/>
            </w:pPr>
            <w:r/>
            <w:r>
              <w:rPr>
                <w:sz w:val="18"/>
              </w:rPr>
              <w:t>Supports</w:t>
            </w:r>
          </w:p>
        </w:tc>
        <w:tc>
          <w:tcPr>
            <w:tcW w:type="dxa" w:w="1440"/>
            <w:shd w:val="clear" w:color="auto" w:fill="FFF5EB"/>
          </w:tcPr>
          <w:p>
            <w:pPr>
              <w:bidi w:val="0"/>
              <w:jc w:val="start"/>
            </w:pPr>
            <w:r/>
            <w:r>
              <w:rPr>
                <w:sz w:val="18"/>
              </w:rPr>
              <w:t>0.95</w:t>
            </w:r>
          </w:p>
        </w:tc>
        <w:tc>
          <w:tcPr>
            <w:tcW w:type="dxa" w:w="2592"/>
            <w:shd w:val="clear" w:color="auto" w:fill="FFF5EB"/>
          </w:tcPr>
          <w:p>
            <w:pPr>
              <w:bidi w:val="0"/>
              <w:jc w:val="start"/>
            </w:pPr>
            <w:r/>
            <w:r>
              <w:rPr>
                <w:sz w:val="18"/>
              </w:rPr>
              <w:t>Keep</w:t>
            </w:r>
          </w:p>
        </w:tc>
      </w:tr>
      <w:tr>
        <w:trPr>
          <w:cantSplit/>
        </w:trPr>
        <w:tc>
          <w:tcPr>
            <w:tcW w:type="dxa" w:w="720"/>
          </w:tcPr>
          <w:p>
            <w:pPr>
              <w:bidi w:val="0"/>
              <w:jc w:val="start"/>
            </w:pPr>
            <w:r/>
            <w:r>
              <w:rPr>
                <w:sz w:val="18"/>
              </w:rPr>
              <w:t>S9</w:t>
            </w:r>
          </w:p>
        </w:tc>
        <w:tc>
          <w:tcPr>
            <w:tcW w:type="dxa" w:w="1584"/>
          </w:tcPr>
          <w:p>
            <w:pPr>
              <w:bidi w:val="0"/>
              <w:jc w:val="start"/>
            </w:pPr>
            <w:r/>
            <w:r>
              <w:rPr>
                <w:sz w:val="18"/>
              </w:rPr>
              <w:t>Verified</w:t>
            </w:r>
          </w:p>
        </w:tc>
        <w:tc>
          <w:tcPr>
            <w:tcW w:type="dxa" w:w="1440"/>
          </w:tcPr>
          <w:p>
            <w:pPr>
              <w:bidi w:val="0"/>
              <w:jc w:val="start"/>
            </w:pPr>
            <w:r/>
            <w:r>
              <w:rPr>
                <w:sz w:val="18"/>
              </w:rPr>
              <w:t>Yes</w:t>
            </w:r>
          </w:p>
        </w:tc>
        <w:tc>
          <w:tcPr>
            <w:tcW w:type="dxa" w:w="1872"/>
          </w:tcPr>
          <w:p>
            <w:pPr>
              <w:bidi w:val="0"/>
              <w:jc w:val="start"/>
            </w:pPr>
            <w:r/>
            <w:r>
              <w:rPr>
                <w:sz w:val="18"/>
              </w:rPr>
              <w:t>Supports</w:t>
            </w:r>
          </w:p>
        </w:tc>
        <w:tc>
          <w:tcPr>
            <w:tcW w:type="dxa" w:w="1440"/>
          </w:tcPr>
          <w:p>
            <w:pPr>
              <w:bidi w:val="0"/>
              <w:jc w:val="start"/>
            </w:pPr>
            <w:r/>
            <w:r>
              <w:rPr>
                <w:sz w:val="18"/>
              </w:rPr>
              <w:t>1.00</w:t>
            </w:r>
          </w:p>
        </w:tc>
        <w:tc>
          <w:tcPr>
            <w:tcW w:type="dxa" w:w="2592"/>
          </w:tcPr>
          <w:p>
            <w:pPr>
              <w:bidi w:val="0"/>
              <w:jc w:val="start"/>
            </w:pPr>
            <w:r/>
            <w:r>
              <w:rPr>
                <w:sz w:val="18"/>
              </w:rPr>
              <w:t>Keep</w:t>
            </w:r>
          </w:p>
        </w:tc>
      </w:tr>
      <w:tr>
        <w:trPr>
          <w:cantSplit/>
        </w:trPr>
        <w:tc>
          <w:tcPr>
            <w:tcW w:type="dxa" w:w="720"/>
            <w:shd w:val="clear" w:color="auto" w:fill="FFF5EB"/>
          </w:tcPr>
          <w:p>
            <w:pPr>
              <w:bidi w:val="0"/>
              <w:jc w:val="start"/>
            </w:pPr>
            <w:r/>
            <w:r>
              <w:rPr>
                <w:sz w:val="18"/>
              </w:rPr>
              <w:t>S10</w:t>
            </w:r>
          </w:p>
        </w:tc>
        <w:tc>
          <w:tcPr>
            <w:tcW w:type="dxa" w:w="1584"/>
            <w:shd w:val="clear" w:color="auto" w:fill="FFF5EB"/>
          </w:tcPr>
          <w:p>
            <w:pPr>
              <w:bidi w:val="0"/>
              <w:jc w:val="start"/>
            </w:pPr>
            <w:r/>
            <w:r>
              <w:rPr>
                <w:sz w:val="18"/>
              </w:rPr>
              <w:t>Verified</w:t>
            </w:r>
          </w:p>
        </w:tc>
        <w:tc>
          <w:tcPr>
            <w:tcW w:type="dxa" w:w="1440"/>
            <w:shd w:val="clear" w:color="auto" w:fill="FFF5EB"/>
          </w:tcPr>
          <w:p>
            <w:pPr>
              <w:bidi w:val="0"/>
              <w:jc w:val="start"/>
            </w:pPr>
            <w:r/>
            <w:r>
              <w:rPr>
                <w:sz w:val="18"/>
              </w:rPr>
              <w:t>Yes</w:t>
            </w:r>
          </w:p>
        </w:tc>
        <w:tc>
          <w:tcPr>
            <w:tcW w:type="dxa" w:w="1872"/>
            <w:shd w:val="clear" w:color="auto" w:fill="FFF5EB"/>
          </w:tcPr>
          <w:p>
            <w:pPr>
              <w:bidi w:val="0"/>
              <w:jc w:val="start"/>
            </w:pPr>
            <w:r/>
            <w:r>
              <w:rPr>
                <w:sz w:val="18"/>
              </w:rPr>
              <w:t>Not assessed</w:t>
            </w:r>
          </w:p>
        </w:tc>
        <w:tc>
          <w:tcPr>
            <w:tcW w:type="dxa" w:w="1440"/>
            <w:shd w:val="clear" w:color="auto" w:fill="FFF5EB"/>
          </w:tcPr>
          <w:p>
            <w:pPr>
              <w:bidi w:val="0"/>
              <w:jc w:val="start"/>
            </w:pPr>
            <w:r/>
            <w:r>
              <w:rPr>
                <w:sz w:val="18"/>
              </w:rPr>
              <w:t>—</w:t>
            </w:r>
          </w:p>
        </w:tc>
        <w:tc>
          <w:tcPr>
            <w:tcW w:type="dxa" w:w="2592"/>
            <w:shd w:val="clear" w:color="auto" w:fill="FFF5EB"/>
          </w:tcPr>
          <w:p>
            <w:pPr>
              <w:bidi w:val="0"/>
              <w:jc w:val="start"/>
            </w:pPr>
            <w:r/>
            <w:r>
              <w:rPr>
                <w:sz w:val="18"/>
              </w:rPr>
              <w:t>Verify manually</w:t>
            </w:r>
          </w:p>
        </w:tc>
      </w:tr>
      <w:tr>
        <w:trPr>
          <w:cantSplit/>
        </w:trPr>
        <w:tc>
          <w:tcPr>
            <w:tcW w:type="dxa" w:w="720"/>
          </w:tcPr>
          <w:p>
            <w:pPr>
              <w:bidi w:val="0"/>
              <w:jc w:val="start"/>
            </w:pPr>
            <w:r/>
            <w:r>
              <w:rPr>
                <w:sz w:val="18"/>
              </w:rPr>
              <w:t>S11</w:t>
            </w:r>
          </w:p>
        </w:tc>
        <w:tc>
          <w:tcPr>
            <w:tcW w:type="dxa" w:w="1584"/>
          </w:tcPr>
          <w:p>
            <w:pPr>
              <w:bidi w:val="0"/>
              <w:jc w:val="start"/>
            </w:pPr>
            <w:r/>
            <w:r>
              <w:rPr>
                <w:sz w:val="18"/>
              </w:rPr>
              <w:t>Verified</w:t>
            </w:r>
          </w:p>
        </w:tc>
        <w:tc>
          <w:tcPr>
            <w:tcW w:type="dxa" w:w="1440"/>
          </w:tcPr>
          <w:p>
            <w:pPr>
              <w:bidi w:val="0"/>
              <w:jc w:val="start"/>
            </w:pPr>
            <w:r/>
            <w:r>
              <w:rPr>
                <w:sz w:val="18"/>
              </w:rPr>
              <w:t>Yes</w:t>
            </w:r>
          </w:p>
        </w:tc>
        <w:tc>
          <w:tcPr>
            <w:tcW w:type="dxa" w:w="1872"/>
          </w:tcPr>
          <w:p>
            <w:pPr>
              <w:bidi w:val="0"/>
              <w:jc w:val="start"/>
            </w:pPr>
            <w:r/>
            <w:r>
              <w:rPr>
                <w:sz w:val="18"/>
              </w:rPr>
              <w:t>Partial</w:t>
            </w:r>
          </w:p>
        </w:tc>
        <w:tc>
          <w:tcPr>
            <w:tcW w:type="dxa" w:w="1440"/>
          </w:tcPr>
          <w:p>
            <w:pPr>
              <w:bidi w:val="0"/>
              <w:jc w:val="start"/>
            </w:pPr>
            <w:r/>
            <w:r>
              <w:rPr>
                <w:sz w:val="18"/>
              </w:rPr>
              <w:t>0.95</w:t>
            </w:r>
          </w:p>
        </w:tc>
        <w:tc>
          <w:tcPr>
            <w:tcW w:type="dxa" w:w="2592"/>
          </w:tcPr>
          <w:p>
            <w:pPr>
              <w:bidi w:val="0"/>
              <w:jc w:val="start"/>
            </w:pPr>
            <w:r/>
            <w:r>
              <w:rPr>
                <w:sz w:val="18"/>
              </w:rPr>
              <w:t>Clarify / strengthen support</w:t>
            </w:r>
          </w:p>
        </w:tc>
      </w:tr>
      <w:tr>
        <w:trPr>
          <w:cantSplit/>
        </w:trPr>
        <w:tc>
          <w:tcPr>
            <w:tcW w:type="dxa" w:w="720"/>
            <w:shd w:val="clear" w:color="auto" w:fill="FFF5EB"/>
          </w:tcPr>
          <w:p>
            <w:pPr>
              <w:bidi w:val="0"/>
              <w:jc w:val="start"/>
            </w:pPr>
            <w:r/>
            <w:r>
              <w:rPr>
                <w:sz w:val="18"/>
              </w:rPr>
              <w:t>S12</w:t>
            </w:r>
          </w:p>
        </w:tc>
        <w:tc>
          <w:tcPr>
            <w:tcW w:type="dxa" w:w="1584"/>
            <w:shd w:val="clear" w:color="auto" w:fill="FFF5EB"/>
          </w:tcPr>
          <w:p>
            <w:pPr>
              <w:bidi w:val="0"/>
              <w:jc w:val="start"/>
            </w:pPr>
            <w:r/>
            <w:r>
              <w:rPr>
                <w:sz w:val="18"/>
              </w:rPr>
              <w:t>Verified</w:t>
            </w:r>
          </w:p>
        </w:tc>
        <w:tc>
          <w:tcPr>
            <w:tcW w:type="dxa" w:w="1440"/>
            <w:shd w:val="clear" w:color="auto" w:fill="FFF5EB"/>
          </w:tcPr>
          <w:p>
            <w:pPr>
              <w:bidi w:val="0"/>
              <w:jc w:val="start"/>
            </w:pPr>
            <w:r/>
            <w:r>
              <w:rPr>
                <w:sz w:val="18"/>
              </w:rPr>
              <w:t>Yes</w:t>
            </w:r>
          </w:p>
        </w:tc>
        <w:tc>
          <w:tcPr>
            <w:tcW w:type="dxa" w:w="1872"/>
            <w:shd w:val="clear" w:color="auto" w:fill="FFF5EB"/>
          </w:tcPr>
          <w:p>
            <w:pPr>
              <w:bidi w:val="0"/>
              <w:jc w:val="start"/>
            </w:pPr>
            <w:r/>
            <w:r>
              <w:rPr>
                <w:sz w:val="18"/>
              </w:rPr>
              <w:t>Not assessed</w:t>
            </w:r>
          </w:p>
        </w:tc>
        <w:tc>
          <w:tcPr>
            <w:tcW w:type="dxa" w:w="1440"/>
            <w:shd w:val="clear" w:color="auto" w:fill="FFF5EB"/>
          </w:tcPr>
          <w:p>
            <w:pPr>
              <w:bidi w:val="0"/>
              <w:jc w:val="start"/>
            </w:pPr>
            <w:r/>
            <w:r>
              <w:rPr>
                <w:sz w:val="18"/>
              </w:rPr>
              <w:t>—</w:t>
            </w:r>
          </w:p>
        </w:tc>
        <w:tc>
          <w:tcPr>
            <w:tcW w:type="dxa" w:w="2592"/>
            <w:shd w:val="clear" w:color="auto" w:fill="FFF5EB"/>
          </w:tcPr>
          <w:p>
            <w:pPr>
              <w:bidi w:val="0"/>
              <w:jc w:val="start"/>
            </w:pPr>
            <w:r/>
            <w:r>
              <w:rPr>
                <w:sz w:val="18"/>
              </w:rPr>
              <w:t>Verify manually</w:t>
            </w:r>
          </w:p>
        </w:tc>
      </w:tr>
      <w:tr>
        <w:trPr>
          <w:cantSplit/>
        </w:trPr>
        <w:tc>
          <w:tcPr>
            <w:tcW w:type="dxa" w:w="720"/>
          </w:tcPr>
          <w:p>
            <w:pPr>
              <w:bidi w:val="0"/>
              <w:jc w:val="start"/>
            </w:pPr>
            <w:r/>
            <w:r>
              <w:rPr>
                <w:sz w:val="18"/>
              </w:rPr>
              <w:t>S13</w:t>
            </w:r>
          </w:p>
        </w:tc>
        <w:tc>
          <w:tcPr>
            <w:tcW w:type="dxa" w:w="1584"/>
          </w:tcPr>
          <w:p>
            <w:pPr>
              <w:bidi w:val="0"/>
              <w:jc w:val="start"/>
            </w:pPr>
            <w:r/>
            <w:r>
              <w:rPr>
                <w:sz w:val="18"/>
              </w:rPr>
              <w:t>Verified</w:t>
            </w:r>
          </w:p>
        </w:tc>
        <w:tc>
          <w:tcPr>
            <w:tcW w:type="dxa" w:w="1440"/>
          </w:tcPr>
          <w:p>
            <w:pPr>
              <w:bidi w:val="0"/>
              <w:jc w:val="start"/>
            </w:pPr>
            <w:r/>
            <w:r>
              <w:rPr>
                <w:sz w:val="18"/>
              </w:rPr>
              <w:t>Yes</w:t>
            </w:r>
          </w:p>
        </w:tc>
        <w:tc>
          <w:tcPr>
            <w:tcW w:type="dxa" w:w="1872"/>
          </w:tcPr>
          <w:p>
            <w:pPr>
              <w:bidi w:val="0"/>
              <w:jc w:val="start"/>
            </w:pPr>
            <w:r/>
            <w:r>
              <w:rPr>
                <w:sz w:val="18"/>
              </w:rPr>
              <w:t>Not assessed</w:t>
            </w:r>
          </w:p>
        </w:tc>
        <w:tc>
          <w:tcPr>
            <w:tcW w:type="dxa" w:w="1440"/>
          </w:tcPr>
          <w:p>
            <w:pPr>
              <w:bidi w:val="0"/>
              <w:jc w:val="start"/>
            </w:pPr>
            <w:r/>
            <w:r>
              <w:rPr>
                <w:sz w:val="18"/>
              </w:rPr>
              <w:t>—</w:t>
            </w:r>
          </w:p>
        </w:tc>
        <w:tc>
          <w:tcPr>
            <w:tcW w:type="dxa" w:w="2592"/>
          </w:tcPr>
          <w:p>
            <w:pPr>
              <w:bidi w:val="0"/>
              <w:jc w:val="start"/>
            </w:pPr>
            <w:r/>
            <w:r>
              <w:rPr>
                <w:sz w:val="18"/>
              </w:rPr>
              <w:t>Verify manually</w:t>
            </w:r>
          </w:p>
        </w:tc>
      </w:tr>
    </w:tbl>
    <w:p/>
    <w:p>
      <w:pPr>
        <w:pStyle w:val="Heading1"/>
        <w:pBdr>
          <w:bottom w:val="single" w:sz="18" w:space="4" w:color="E06D00"/>
        </w:pBdr>
      </w:pPr>
      <w:r>
        <w:t>Evidence Table</w:t>
      </w:r>
    </w:p>
    <w:p>
      <w:pPr>
        <w:jc w:val="left"/>
      </w:pPr>
      <w:r>
        <w:rPr>
          <w:rFonts w:ascii="Times New Roman" w:hAnsi="Times New Roman"/>
          <w:b w:val="0"/>
          <w:color w:val="6B7280"/>
          <w:sz w:val="20"/>
        </w:rPr>
        <w:t>What each source actually says, and how strongly it supports the claim it is used for. Sources we could not extract evidence from are still listed so nothing is hidden.</w:t>
      </w:r>
    </w:p>
    <w:tbl>
      <w:tblPr>
        <w:tblStyle w:val="TableGrid"/>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2160"/>
        <w:gridCol w:w="2160"/>
        <w:gridCol w:w="2160"/>
        <w:gridCol w:w="2160"/>
      </w:tblGrid>
      <w:tr>
        <w:trPr>
          <w:tblHeader/>
          <w:cantSplit/>
        </w:trPr>
        <w:tc>
          <w:tcPr>
            <w:tcW w:type="dxa" w:w="864"/>
            <w:shd w:val="clear" w:color="auto" w:fill="FF7A00"/>
          </w:tcPr>
          <w:p>
            <w:pPr>
              <w:bidi w:val="0"/>
              <w:jc w:val="start"/>
            </w:pPr>
            <w:r/>
            <w:r>
              <w:rPr>
                <w:b/>
                <w:color w:val="FFFFFF"/>
                <w:sz w:val="18"/>
              </w:rPr>
              <w:t>Source</w:t>
            </w:r>
          </w:p>
        </w:tc>
        <w:tc>
          <w:tcPr>
            <w:tcW w:type="dxa" w:w="3888"/>
            <w:shd w:val="clear" w:color="auto" w:fill="FF7A00"/>
          </w:tcPr>
          <w:p>
            <w:pPr>
              <w:bidi w:val="0"/>
              <w:jc w:val="start"/>
            </w:pPr>
            <w:r/>
            <w:r>
              <w:rPr>
                <w:b/>
                <w:color w:val="FFFFFF"/>
                <w:sz w:val="18"/>
              </w:rPr>
              <w:t>Evidence from source</w:t>
            </w:r>
          </w:p>
        </w:tc>
        <w:tc>
          <w:tcPr>
            <w:tcW w:type="dxa" w:w="1440"/>
            <w:shd w:val="clear" w:color="auto" w:fill="FF7A00"/>
          </w:tcPr>
          <w:p>
            <w:pPr>
              <w:bidi w:val="0"/>
              <w:jc w:val="start"/>
            </w:pPr>
            <w:r/>
            <w:r>
              <w:rPr>
                <w:b/>
                <w:color w:val="FFFFFF"/>
                <w:sz w:val="18"/>
              </w:rPr>
              <w:t>Support level</w:t>
            </w:r>
          </w:p>
        </w:tc>
        <w:tc>
          <w:tcPr>
            <w:tcW w:type="dxa" w:w="2016"/>
            <w:shd w:val="clear" w:color="auto" w:fill="FF7A00"/>
          </w:tcPr>
          <w:p>
            <w:pPr>
              <w:bidi w:val="0"/>
              <w:jc w:val="start"/>
            </w:pPr>
            <w:r/>
            <w:r>
              <w:rPr>
                <w:b/>
                <w:color w:val="FFFFFF"/>
                <w:sz w:val="18"/>
              </w:rPr>
              <w:t>Action</w:t>
            </w:r>
          </w:p>
        </w:tc>
      </w:tr>
      <w:tr>
        <w:trPr>
          <w:cantSplit/>
        </w:trPr>
        <w:tc>
          <w:tcPr>
            <w:tcW w:type="dxa" w:w="864"/>
          </w:tcPr>
          <w:p>
            <w:pPr>
              <w:bidi w:val="0"/>
              <w:jc w:val="start"/>
            </w:pPr>
            <w:r/>
            <w:r>
              <w:rPr>
                <w:sz w:val="18"/>
              </w:rPr>
              <w:t>S1</w:t>
            </w:r>
          </w:p>
        </w:tc>
        <w:tc>
          <w:tcPr>
            <w:tcW w:type="dxa" w:w="3888"/>
          </w:tcPr>
          <w:p>
            <w:pPr>
              <w:bidi w:val="0"/>
              <w:jc w:val="start"/>
            </w:pPr>
            <w:r/>
            <w:r>
              <w:rPr>
                <w:sz w:val="18"/>
              </w:rPr>
              <w:t>Adema argues that scholarly publishing is constrained by the commodification of print, proposing that authorship should shift toward anonymous, collaborative, processual, and remixed models that embrace dynamic materiality over static originality.</w:t>
            </w:r>
          </w:p>
        </w:tc>
        <w:tc>
          <w:tcPr>
            <w:tcW w:type="dxa" w:w="1440"/>
          </w:tcPr>
          <w:p>
            <w:pPr>
              <w:bidi w:val="0"/>
              <w:jc w:val="start"/>
            </w:pPr>
            <w:r/>
            <w:r>
              <w:rPr>
                <w:sz w:val="18"/>
              </w:rPr>
              <w:t>Direct</w:t>
            </w:r>
          </w:p>
        </w:tc>
        <w:tc>
          <w:tcPr>
            <w:tcW w:type="dxa" w:w="2016"/>
          </w:tcPr>
          <w:p>
            <w:pPr>
              <w:bidi w:val="0"/>
              <w:jc w:val="start"/>
            </w:pPr>
            <w:r/>
            <w:r>
              <w:rPr>
                <w:sz w:val="18"/>
              </w:rPr>
              <w:t>Keep</w:t>
            </w:r>
          </w:p>
        </w:tc>
      </w:tr>
      <w:tr>
        <w:trPr>
          <w:cantSplit/>
        </w:trPr>
        <w:tc>
          <w:tcPr>
            <w:tcW w:type="dxa" w:w="864"/>
            <w:shd w:val="clear" w:color="auto" w:fill="FFF5EB"/>
          </w:tcPr>
          <w:p>
            <w:pPr>
              <w:bidi w:val="0"/>
              <w:jc w:val="start"/>
            </w:pPr>
            <w:r/>
            <w:r>
              <w:rPr>
                <w:sz w:val="18"/>
              </w:rPr>
              <w:t>S2</w:t>
            </w:r>
          </w:p>
        </w:tc>
        <w:tc>
          <w:tcPr>
            <w:tcW w:type="dxa" w:w="3888"/>
            <w:shd w:val="clear" w:color="auto" w:fill="FFF5EB"/>
          </w:tcPr>
          <w:p>
            <w:pPr>
              <w:bidi w:val="0"/>
              <w:jc w:val="start"/>
            </w:pPr>
            <w:r/>
            <w:r>
              <w:rPr>
                <w:sz w:val="18"/>
              </w:rPr>
              <w:t>The author rejects the anthropomorphic view of 'creative AI' in favor of a 'posthumanist agential assemblage,' suggesting that AI art necessitates a reconfiguration of the traditional author function.</w:t>
            </w:r>
          </w:p>
        </w:tc>
        <w:tc>
          <w:tcPr>
            <w:tcW w:type="dxa" w:w="1440"/>
            <w:shd w:val="clear" w:color="auto" w:fill="FFF5EB"/>
          </w:tcPr>
          <w:p>
            <w:pPr>
              <w:bidi w:val="0"/>
              <w:jc w:val="start"/>
            </w:pPr>
            <w:r/>
            <w:r>
              <w:rPr>
                <w:sz w:val="18"/>
              </w:rPr>
              <w:t>Partial</w:t>
            </w:r>
          </w:p>
        </w:tc>
        <w:tc>
          <w:tcPr>
            <w:tcW w:type="dxa" w:w="2016"/>
            <w:shd w:val="clear" w:color="auto" w:fill="FFF5EB"/>
          </w:tcPr>
          <w:p>
            <w:pPr>
              <w:bidi w:val="0"/>
              <w:jc w:val="start"/>
            </w:pPr>
            <w:r/>
            <w:r>
              <w:rPr>
                <w:sz w:val="18"/>
              </w:rPr>
              <w:t>Clarify / strengthen support</w:t>
            </w:r>
          </w:p>
        </w:tc>
      </w:tr>
      <w:tr>
        <w:trPr>
          <w:cantSplit/>
        </w:trPr>
        <w:tc>
          <w:tcPr>
            <w:tcW w:type="dxa" w:w="864"/>
          </w:tcPr>
          <w:p>
            <w:pPr>
              <w:bidi w:val="0"/>
              <w:jc w:val="start"/>
            </w:pPr>
            <w:r/>
            <w:r>
              <w:rPr>
                <w:sz w:val="18"/>
              </w:rPr>
              <w:t>S3</w:t>
            </w:r>
          </w:p>
        </w:tc>
        <w:tc>
          <w:tcPr>
            <w:tcW w:type="dxa" w:w="3888"/>
          </w:tcPr>
          <w:p>
            <w:pPr>
              <w:bidi w:val="0"/>
              <w:jc w:val="start"/>
            </w:pPr>
            <w:r/>
            <w:r>
              <w:rPr>
                <w:sz w:val="18"/>
              </w:rPr>
              <w:t>The emergence of AI-generated content necessitates a fundamental rethink of scholarly processes, specifically regarding how we define anonymity, attribution, and the epistemological relevance of published media.</w:t>
            </w:r>
          </w:p>
        </w:tc>
        <w:tc>
          <w:tcPr>
            <w:tcW w:type="dxa" w:w="1440"/>
          </w:tcPr>
          <w:p>
            <w:pPr>
              <w:bidi w:val="0"/>
              <w:jc w:val="start"/>
            </w:pPr>
            <w:r/>
            <w:r>
              <w:rPr>
                <w:sz w:val="18"/>
              </w:rPr>
              <w:t>Direct</w:t>
            </w:r>
          </w:p>
        </w:tc>
        <w:tc>
          <w:tcPr>
            <w:tcW w:type="dxa" w:w="2016"/>
          </w:tcPr>
          <w:p>
            <w:pPr>
              <w:bidi w:val="0"/>
              <w:jc w:val="start"/>
            </w:pPr>
            <w:r/>
            <w:r>
              <w:rPr>
                <w:sz w:val="18"/>
              </w:rPr>
              <w:t>Keep</w:t>
            </w:r>
          </w:p>
        </w:tc>
      </w:tr>
      <w:tr>
        <w:trPr>
          <w:cantSplit/>
        </w:trPr>
        <w:tc>
          <w:tcPr>
            <w:tcW w:type="dxa" w:w="864"/>
            <w:shd w:val="clear" w:color="auto" w:fill="FFF5EB"/>
          </w:tcPr>
          <w:p>
            <w:pPr>
              <w:bidi w:val="0"/>
              <w:jc w:val="start"/>
            </w:pPr>
            <w:r/>
            <w:r>
              <w:rPr>
                <w:sz w:val="18"/>
              </w:rPr>
              <w:t>S4</w:t>
            </w:r>
          </w:p>
        </w:tc>
        <w:tc>
          <w:tcPr>
            <w:tcW w:type="dxa" w:w="3888"/>
            <w:shd w:val="clear" w:color="auto" w:fill="FFF5EB"/>
          </w:tcPr>
          <w:p>
            <w:pPr>
              <w:bidi w:val="0"/>
              <w:jc w:val="start"/>
            </w:pPr>
            <w:r/>
            <w:r>
              <w:rPr>
                <w:sz w:val="18"/>
              </w:rPr>
              <w:t>Humanities scholars face specific struggles in their pursuit of contributing to discourse and seeking recognition for their intellectual work within the context of national academic frameworks.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S5</w:t>
            </w:r>
          </w:p>
        </w:tc>
        <w:tc>
          <w:tcPr>
            <w:tcW w:type="dxa" w:w="3888"/>
          </w:tcPr>
          <w:p>
            <w:pPr>
              <w:bidi w:val="0"/>
              <w:jc w:val="start"/>
            </w:pPr>
            <w:r/>
            <w:r>
              <w:rPr>
                <w:sz w:val="18"/>
              </w:rPr>
              <w:t>Distant writing is a distributed epistemic activity where humans retain epistemic agency while delegating generative labor to non-agential LLMs; LLMs function as sophisticated tools rather than co-authors; attribution should shift from traditional originality to transparency…</w:t>
            </w:r>
          </w:p>
        </w:tc>
        <w:tc>
          <w:tcPr>
            <w:tcW w:type="dxa" w:w="1440"/>
          </w:tcPr>
          <w:p>
            <w:pPr>
              <w:bidi w:val="0"/>
              <w:jc w:val="start"/>
            </w:pPr>
            <w:r/>
            <w:r>
              <w:rPr>
                <w:sz w:val="18"/>
              </w:rPr>
              <w:t>Direct</w:t>
            </w:r>
          </w:p>
        </w:tc>
        <w:tc>
          <w:tcPr>
            <w:tcW w:type="dxa" w:w="2016"/>
          </w:tcPr>
          <w:p>
            <w:pPr>
              <w:bidi w:val="0"/>
              <w:jc w:val="start"/>
            </w:pPr>
            <w:r/>
            <w:r>
              <w:rPr>
                <w:sz w:val="18"/>
              </w:rPr>
              <w:t>Keep</w:t>
            </w:r>
          </w:p>
        </w:tc>
      </w:tr>
      <w:tr>
        <w:trPr>
          <w:cantSplit/>
        </w:trPr>
        <w:tc>
          <w:tcPr>
            <w:tcW w:type="dxa" w:w="864"/>
            <w:shd w:val="clear" w:color="auto" w:fill="FFF5EB"/>
          </w:tcPr>
          <w:p>
            <w:pPr>
              <w:bidi w:val="0"/>
              <w:jc w:val="start"/>
            </w:pPr>
            <w:r/>
            <w:r>
              <w:rPr>
                <w:sz w:val="18"/>
              </w:rPr>
              <w:t>S6</w:t>
            </w:r>
          </w:p>
        </w:tc>
        <w:tc>
          <w:tcPr>
            <w:tcW w:type="dxa" w:w="3888"/>
            <w:shd w:val="clear" w:color="auto" w:fill="FFF5EB"/>
          </w:tcPr>
          <w:p>
            <w:pPr>
              <w:bidi w:val="0"/>
              <w:jc w:val="start"/>
            </w:pPr>
            <w:r/>
            <w:r>
              <w:rPr>
                <w:sz w:val="18"/>
              </w:rPr>
              <w:t>Readers tend to assign agency to NLG systems to maintain a 'hermeneutic contract'; the author suggests a continuum from 'authorship' to 'generatorship' rather than a binary, and argues that NLG systems should be viewed as social agents or 'algorithmic authors'.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Replace / find a stronger source</w:t>
            </w:r>
          </w:p>
        </w:tc>
      </w:tr>
      <w:tr>
        <w:trPr>
          <w:cantSplit/>
        </w:trPr>
        <w:tc>
          <w:tcPr>
            <w:tcW w:type="dxa" w:w="864"/>
          </w:tcPr>
          <w:p>
            <w:pPr>
              <w:bidi w:val="0"/>
              <w:jc w:val="start"/>
            </w:pPr>
            <w:r/>
            <w:r>
              <w:rPr>
                <w:sz w:val="18"/>
              </w:rPr>
              <w:t>S7</w:t>
            </w:r>
          </w:p>
        </w:tc>
        <w:tc>
          <w:tcPr>
            <w:tcW w:type="dxa" w:w="3888"/>
          </w:tcPr>
          <w:p>
            <w:pPr>
              <w:bidi w:val="0"/>
              <w:jc w:val="start"/>
            </w:pPr>
            <w:r/>
            <w:r>
              <w:rPr>
                <w:sz w:val="18"/>
              </w:rPr>
              <w:t>—</w:t>
            </w:r>
          </w:p>
        </w:tc>
        <w:tc>
          <w:tcPr>
            <w:tcW w:type="dxa" w:w="1440"/>
          </w:tcPr>
          <w:p>
            <w:pPr>
              <w:bidi w:val="0"/>
              <w:jc w:val="start"/>
            </w:pPr>
            <w:r/>
            <w:r>
              <w:rPr>
                <w:sz w:val="18"/>
              </w:rPr>
              <w:t>Partial</w:t>
            </w:r>
          </w:p>
        </w:tc>
        <w:tc>
          <w:tcPr>
            <w:tcW w:type="dxa" w:w="2016"/>
          </w:tcPr>
          <w:p>
            <w:pPr>
              <w:bidi w:val="0"/>
              <w:jc w:val="start"/>
            </w:pPr>
            <w:r/>
            <w:r>
              <w:rPr>
                <w:sz w:val="18"/>
              </w:rPr>
              <w:t>Clarify / strengthen support</w:t>
            </w:r>
          </w:p>
        </w:tc>
      </w:tr>
      <w:tr>
        <w:trPr>
          <w:cantSplit/>
        </w:trPr>
        <w:tc>
          <w:tcPr>
            <w:tcW w:type="dxa" w:w="864"/>
            <w:shd w:val="clear" w:color="auto" w:fill="FFF5EB"/>
          </w:tcPr>
          <w:p>
            <w:pPr>
              <w:bidi w:val="0"/>
              <w:jc w:val="start"/>
            </w:pPr>
            <w:r/>
            <w:r>
              <w:rPr>
                <w:sz w:val="18"/>
              </w:rPr>
              <w:t>S8</w:t>
            </w:r>
          </w:p>
        </w:tc>
        <w:tc>
          <w:tcPr>
            <w:tcW w:type="dxa" w:w="3888"/>
            <w:shd w:val="clear" w:color="auto" w:fill="FFF5EB"/>
          </w:tcPr>
          <w:p>
            <w:pPr>
              <w:bidi w:val="0"/>
              <w:jc w:val="start"/>
            </w:pPr>
            <w:r/>
            <w:r>
              <w:rPr>
                <w:sz w:val="18"/>
              </w:rPr>
              <w:t>The essay proposes 'causal authorship' to measure the distance between human and machine agents and 'distributed authorship' to account for the network of actors involved in text creation.</w:t>
            </w:r>
          </w:p>
        </w:tc>
        <w:tc>
          <w:tcPr>
            <w:tcW w:type="dxa" w:w="1440"/>
            <w:shd w:val="clear" w:color="auto" w:fill="FFF5EB"/>
          </w:tcPr>
          <w:p>
            <w:pPr>
              <w:bidi w:val="0"/>
              <w:jc w:val="start"/>
            </w:pPr>
            <w:r/>
            <w:r>
              <w:rPr>
                <w:sz w:val="18"/>
              </w:rPr>
              <w:t>Direct</w:t>
            </w:r>
          </w:p>
        </w:tc>
        <w:tc>
          <w:tcPr>
            <w:tcW w:type="dxa" w:w="2016"/>
            <w:shd w:val="clear" w:color="auto" w:fill="FFF5EB"/>
          </w:tcPr>
          <w:p>
            <w:pPr>
              <w:bidi w:val="0"/>
              <w:jc w:val="start"/>
            </w:pPr>
            <w:r/>
            <w:r>
              <w:rPr>
                <w:sz w:val="18"/>
              </w:rPr>
              <w:t>Keep</w:t>
            </w:r>
          </w:p>
        </w:tc>
      </w:tr>
      <w:tr>
        <w:trPr>
          <w:cantSplit/>
        </w:trPr>
        <w:tc>
          <w:tcPr>
            <w:tcW w:type="dxa" w:w="864"/>
          </w:tcPr>
          <w:p>
            <w:pPr>
              <w:bidi w:val="0"/>
              <w:jc w:val="start"/>
            </w:pPr>
            <w:r/>
            <w:r>
              <w:rPr>
                <w:sz w:val="18"/>
              </w:rPr>
              <w:t>S9</w:t>
            </w:r>
          </w:p>
        </w:tc>
        <w:tc>
          <w:tcPr>
            <w:tcW w:type="dxa" w:w="3888"/>
          </w:tcPr>
          <w:p>
            <w:pPr>
              <w:bidi w:val="0"/>
              <w:jc w:val="start"/>
            </w:pPr>
            <w:r/>
            <w:r>
              <w:rPr>
                <w:sz w:val="18"/>
              </w:rPr>
              <w:t>AI governance is an emerging, fragmented field with few explicit definitions; four identified themes are technology, stakeholders/context, regulation, and processes; key gaps include limited understanding of implementation and operationalization.</w:t>
            </w:r>
          </w:p>
        </w:tc>
        <w:tc>
          <w:tcPr>
            <w:tcW w:type="dxa" w:w="1440"/>
          </w:tcPr>
          <w:p>
            <w:pPr>
              <w:bidi w:val="0"/>
              <w:jc w:val="start"/>
            </w:pPr>
            <w:r/>
            <w:r>
              <w:rPr>
                <w:sz w:val="18"/>
              </w:rPr>
              <w:t>Direct</w:t>
            </w:r>
          </w:p>
        </w:tc>
        <w:tc>
          <w:tcPr>
            <w:tcW w:type="dxa" w:w="2016"/>
          </w:tcPr>
          <w:p>
            <w:pPr>
              <w:bidi w:val="0"/>
              <w:jc w:val="start"/>
            </w:pPr>
            <w:r/>
            <w:r>
              <w:rPr>
                <w:sz w:val="18"/>
              </w:rPr>
              <w:t>Keep</w:t>
            </w:r>
          </w:p>
        </w:tc>
      </w:tr>
      <w:tr>
        <w:trPr>
          <w:cantSplit/>
        </w:trPr>
        <w:tc>
          <w:tcPr>
            <w:tcW w:type="dxa" w:w="864"/>
            <w:shd w:val="clear" w:color="auto" w:fill="FFF5EB"/>
          </w:tcPr>
          <w:p>
            <w:pPr>
              <w:bidi w:val="0"/>
              <w:jc w:val="start"/>
            </w:pPr>
            <w:r/>
            <w:r>
              <w:rPr>
                <w:sz w:val="18"/>
              </w:rPr>
              <w:t>S10</w:t>
            </w:r>
          </w:p>
        </w:tc>
        <w:tc>
          <w:tcPr>
            <w:tcW w:type="dxa" w:w="3888"/>
            <w:shd w:val="clear" w:color="auto" w:fill="FFF5EB"/>
          </w:tcPr>
          <w:p>
            <w:pPr>
              <w:bidi w:val="0"/>
              <w:jc w:val="start"/>
            </w:pPr>
            <w:r/>
            <w:r>
              <w:rPr>
                <w:sz w:val="18"/>
              </w:rPr>
              <w:t>The 'legitimation paradox' describes how fanfiction utilizes traditional notions of authorship to gain legitimacy while simultaneously contesting and deconstructing the authority of media professionals.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S11</w:t>
            </w:r>
          </w:p>
        </w:tc>
        <w:tc>
          <w:tcPr>
            <w:tcW w:type="dxa" w:w="3888"/>
          </w:tcPr>
          <w:p>
            <w:pPr>
              <w:bidi w:val="0"/>
              <w:jc w:val="start"/>
            </w:pPr>
            <w:r/>
            <w:r>
              <w:rPr>
                <w:sz w:val="18"/>
              </w:rPr>
              <w:t>Authorship is a complex, multifaceted concept that cannot be reduced to a single definition; it encompasses various functions such as precursory, executive, collaborative, and revisionary authorship. Identifying authorship is fundamentally linked to validating individual agency.</w:t>
            </w:r>
          </w:p>
        </w:tc>
        <w:tc>
          <w:tcPr>
            <w:tcW w:type="dxa" w:w="1440"/>
          </w:tcPr>
          <w:p>
            <w:pPr>
              <w:bidi w:val="0"/>
              <w:jc w:val="start"/>
            </w:pPr>
            <w:r/>
            <w:r>
              <w:rPr>
                <w:sz w:val="18"/>
              </w:rPr>
              <w:t>Partial</w:t>
            </w:r>
          </w:p>
        </w:tc>
        <w:tc>
          <w:tcPr>
            <w:tcW w:type="dxa" w:w="2016"/>
          </w:tcPr>
          <w:p>
            <w:pPr>
              <w:bidi w:val="0"/>
              <w:jc w:val="start"/>
            </w:pPr>
            <w:r/>
            <w:r>
              <w:rPr>
                <w:sz w:val="18"/>
              </w:rPr>
              <w:t>Clarify / strengthen support</w:t>
            </w:r>
          </w:p>
        </w:tc>
      </w:tr>
      <w:tr>
        <w:trPr>
          <w:cantSplit/>
        </w:trPr>
        <w:tc>
          <w:tcPr>
            <w:tcW w:type="dxa" w:w="864"/>
            <w:shd w:val="clear" w:color="auto" w:fill="FFF5EB"/>
          </w:tcPr>
          <w:p>
            <w:pPr>
              <w:bidi w:val="0"/>
              <w:jc w:val="start"/>
            </w:pPr>
            <w:r/>
            <w:r>
              <w:rPr>
                <w:sz w:val="18"/>
              </w:rPr>
              <w:t>S12</w:t>
            </w:r>
          </w:p>
        </w:tc>
        <w:tc>
          <w:tcPr>
            <w:tcW w:type="dxa" w:w="3888"/>
            <w:shd w:val="clear" w:color="auto" w:fill="FFF5EB"/>
          </w:tcPr>
          <w:p>
            <w:pPr>
              <w:bidi w:val="0"/>
              <w:jc w:val="start"/>
            </w:pPr>
            <w:r/>
            <w:r>
              <w:rPr>
                <w:sz w:val="18"/>
              </w:rPr>
              <w:t>—</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S13</w:t>
            </w:r>
          </w:p>
        </w:tc>
        <w:tc>
          <w:tcPr>
            <w:tcW w:type="dxa" w:w="3888"/>
          </w:tcPr>
          <w:p>
            <w:pPr>
              <w:bidi w:val="0"/>
              <w:jc w:val="start"/>
            </w:pPr>
            <w:r/>
            <w:r>
              <w:rPr>
                <w:sz w:val="18"/>
              </w:rPr>
              <w:t>—</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S14</w:t>
            </w:r>
          </w:p>
        </w:tc>
        <w:tc>
          <w:tcPr>
            <w:tcW w:type="dxa" w:w="3888"/>
            <w:shd w:val="clear" w:color="auto" w:fill="FFF5EB"/>
          </w:tcPr>
          <w:p>
            <w:pPr>
              <w:bidi w:val="0"/>
              <w:jc w:val="start"/>
            </w:pPr>
            <w:r/>
            <w:r>
              <w:rPr>
                <w:sz w:val="18"/>
              </w:rPr>
              <w:t>Increasing the diversity and quantity of input materials improves the depth and coherence of generated reviews, though current outputs do not yet meet top-tier publication standards for critical analysis and originality.</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S15</w:t>
            </w:r>
          </w:p>
        </w:tc>
        <w:tc>
          <w:tcPr>
            <w:tcW w:type="dxa" w:w="3888"/>
          </w:tcPr>
          <w:p>
            <w:pPr>
              <w:bidi w:val="0"/>
              <w:jc w:val="start"/>
            </w:pPr>
            <w:r/>
            <w:r>
              <w:rPr>
                <w:sz w:val="18"/>
              </w:rPr>
              <w:t>AI-generated art blurs the distinction between original and reproduction, leading to an emergent 'hybridized' form of aura resulting from the synergy of human intention and machine execution.</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S16</w:t>
            </w:r>
          </w:p>
        </w:tc>
        <w:tc>
          <w:tcPr>
            <w:tcW w:type="dxa" w:w="3888"/>
            <w:shd w:val="clear" w:color="auto" w:fill="FFF5EB"/>
          </w:tcPr>
          <w:p>
            <w:pPr>
              <w:bidi w:val="0"/>
              <w:jc w:val="start"/>
            </w:pPr>
            <w:r/>
            <w:r>
              <w:rPr>
                <w:sz w:val="18"/>
              </w:rPr>
              <w:t>The attribution of 'Arden of Faversham' to Shakespeare is found to be suspect because the underlying models lack sufficient justification, the data are insufficiently specific, and the methods are too opaque for rigorous academic scrutiny.</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S17</w:t>
            </w:r>
          </w:p>
        </w:tc>
        <w:tc>
          <w:tcPr>
            <w:tcW w:type="dxa" w:w="3888"/>
          </w:tcPr>
          <w:p>
            <w:pPr>
              <w:bidi w:val="0"/>
              <w:jc w:val="start"/>
            </w:pPr>
            <w:r/>
            <w:r>
              <w:rPr>
                <w:sz w:val="18"/>
              </w:rPr>
              <w:t>Twitter serves as a platform for the continuous, mass-scale reshaping of authorial identity, though digital performance often requires remediation into print media to achieve traditional cultural legitimacy.</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S18</w:t>
            </w:r>
          </w:p>
        </w:tc>
        <w:tc>
          <w:tcPr>
            <w:tcW w:type="dxa" w:w="3888"/>
            <w:shd w:val="clear" w:color="auto" w:fill="FFF5EB"/>
          </w:tcPr>
          <w:p>
            <w:pPr>
              <w:bidi w:val="0"/>
              <w:jc w:val="start"/>
            </w:pPr>
            <w:r/>
            <w:r>
              <w:rPr>
                <w:sz w:val="18"/>
              </w:rPr>
              <w:t>—</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S19</w:t>
            </w:r>
          </w:p>
        </w:tc>
        <w:tc>
          <w:tcPr>
            <w:tcW w:type="dxa" w:w="3888"/>
          </w:tcPr>
          <w:p>
            <w:pPr>
              <w:bidi w:val="0"/>
              <w:jc w:val="start"/>
            </w:pPr>
            <w:r/>
            <w:r>
              <w:rPr>
                <w:sz w:val="18"/>
              </w:rPr>
              <w:t>—</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S20</w:t>
            </w:r>
          </w:p>
        </w:tc>
        <w:tc>
          <w:tcPr>
            <w:tcW w:type="dxa" w:w="3888"/>
            <w:shd w:val="clear" w:color="auto" w:fill="FFF5EB"/>
          </w:tcPr>
          <w:p>
            <w:pPr>
              <w:bidi w:val="0"/>
              <w:jc w:val="start"/>
            </w:pPr>
            <w:r/>
            <w:r>
              <w:rPr>
                <w:sz w:val="18"/>
              </w:rPr>
              <w:t>Early modern playtexts are products of complex, iterative processes involving authors, scribes, printers, and actors; therefore, stylistic markers are often layered and difficult to isolate to a single source.</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S21</w:t>
            </w:r>
          </w:p>
        </w:tc>
        <w:tc>
          <w:tcPr>
            <w:tcW w:type="dxa" w:w="3888"/>
          </w:tcPr>
          <w:p>
            <w:pPr>
              <w:bidi w:val="0"/>
              <w:jc w:val="start"/>
            </w:pPr>
            <w:r/>
            <w:r>
              <w:rPr>
                <w:sz w:val="18"/>
              </w:rPr>
              <w:t>—</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S22</w:t>
            </w:r>
          </w:p>
        </w:tc>
        <w:tc>
          <w:tcPr>
            <w:tcW w:type="dxa" w:w="3888"/>
            <w:shd w:val="clear" w:color="auto" w:fill="FFF5EB"/>
          </w:tcPr>
          <w:p>
            <w:pPr>
              <w:bidi w:val="0"/>
              <w:jc w:val="start"/>
            </w:pPr>
            <w:r/>
            <w:r>
              <w:rPr>
                <w:sz w:val="18"/>
              </w:rPr>
              <w:t>AI-generated outputs in their raw form fail the originality requirement due to a lack of human intellectual choice; Indonesian law restricts authorship to human creators; protection should be limited to human-authored post-production or highly creative iterative prompting.</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S23</w:t>
            </w:r>
          </w:p>
        </w:tc>
        <w:tc>
          <w:tcPr>
            <w:tcW w:type="dxa" w:w="3888"/>
          </w:tcPr>
          <w:p>
            <w:pPr>
              <w:bidi w:val="0"/>
              <w:jc w:val="start"/>
            </w:pPr>
            <w:r/>
            <w:r>
              <w:rPr>
                <w:sz w:val="18"/>
              </w:rPr>
              <w:t>Attributing authorship requires intention, agency, and awareness of the creative act; these criteria create significant ethical, philosophical, and legal challenges when applied to non-human entities like AI.</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S24</w:t>
            </w:r>
          </w:p>
        </w:tc>
        <w:tc>
          <w:tcPr>
            <w:tcW w:type="dxa" w:w="3888"/>
            <w:shd w:val="clear" w:color="auto" w:fill="FFF5EB"/>
          </w:tcPr>
          <w:p>
            <w:pPr>
              <w:bidi w:val="0"/>
              <w:jc w:val="start"/>
            </w:pPr>
            <w:r/>
            <w:r>
              <w:rPr>
                <w:sz w:val="18"/>
              </w:rPr>
              <w:t>The integration of generative AI challenges traditional notions of human-centric authorship, necessitating a re-evaluation of copyright eligibility for machine-assisted works.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S25</w:t>
            </w:r>
          </w:p>
        </w:tc>
        <w:tc>
          <w:tcPr>
            <w:tcW w:type="dxa" w:w="3888"/>
          </w:tcPr>
          <w:p>
            <w:pPr>
              <w:bidi w:val="0"/>
              <w:jc w:val="start"/>
            </w:pPr>
            <w:r/>
            <w:r>
              <w:rPr>
                <w:sz w:val="18"/>
              </w:rPr>
              <w:t>The study identifies three major gaps: ambiguity in AI authorship and attribution, procedural underperformance in enforcement, and limited cross-border legal cooperation. It proposes statutory recognition of AI authorship and blockchain-based attribution protocols.</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S26</w:t>
            </w:r>
          </w:p>
        </w:tc>
        <w:tc>
          <w:tcPr>
            <w:tcW w:type="dxa" w:w="3888"/>
            <w:shd w:val="clear" w:color="auto" w:fill="FFF5EB"/>
          </w:tcPr>
          <w:p>
            <w:pPr>
              <w:bidi w:val="0"/>
              <w:jc w:val="start"/>
            </w:pPr>
            <w:r/>
            <w:r>
              <w:rPr>
                <w:sz w:val="18"/>
              </w:rPr>
              <w:t>Generative AI should be viewed as a collaborative tool that augments human creativity rather than replacing it; the authors advocate for a framework of human oversight that maintains academic accountability while embracing the democratization of knowledge production.</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S27</w:t>
            </w:r>
          </w:p>
        </w:tc>
        <w:tc>
          <w:tcPr>
            <w:tcW w:type="dxa" w:w="3888"/>
          </w:tcPr>
          <w:p>
            <w:pPr>
              <w:bidi w:val="0"/>
              <w:jc w:val="start"/>
            </w:pPr>
            <w:r/>
            <w:r>
              <w:rPr>
                <w:sz w:val="18"/>
              </w:rPr>
              <w:t>Parafictional artists function as authors within the art world despite their imaginary nature; their practice moves beyond a simple critique of authorship toward a curatorial understanding that contributes to the production of knowledge through fiction.</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S28</w:t>
            </w:r>
          </w:p>
        </w:tc>
        <w:tc>
          <w:tcPr>
            <w:tcW w:type="dxa" w:w="3888"/>
            <w:shd w:val="clear" w:color="auto" w:fill="FFF5EB"/>
          </w:tcPr>
          <w:p>
            <w:pPr>
              <w:bidi w:val="0"/>
              <w:jc w:val="start"/>
            </w:pPr>
            <w:r/>
            <w:r>
              <w:rPr>
                <w:sz w:val="18"/>
              </w:rPr>
              <w:t>—</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S29</w:t>
            </w:r>
          </w:p>
        </w:tc>
        <w:tc>
          <w:tcPr>
            <w:tcW w:type="dxa" w:w="3888"/>
          </w:tcPr>
          <w:p>
            <w:pPr>
              <w:bidi w:val="0"/>
              <w:jc w:val="start"/>
            </w:pPr>
            <w:r/>
            <w:r>
              <w:rPr>
                <w:sz w:val="18"/>
              </w:rPr>
              <w:t>Biblical studies should shift from focusing on the author's original intent to an outward-facing approach that embraces the ongoing, symbiotic meaning-making process inherent in the Bible's reception history.</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S30</w:t>
            </w:r>
          </w:p>
        </w:tc>
        <w:tc>
          <w:tcPr>
            <w:tcW w:type="dxa" w:w="3888"/>
            <w:shd w:val="clear" w:color="auto" w:fill="FFF5EB"/>
          </w:tcPr>
          <w:p>
            <w:pPr>
              <w:bidi w:val="0"/>
              <w:jc w:val="start"/>
            </w:pPr>
            <w:r/>
            <w:r>
              <w:rPr>
                <w:sz w:val="18"/>
              </w:rPr>
              <w:t>Replication studies are rare (1 per 400 articles), often involve significant changes to original study designs, and show a higher likelihood of supporting initial findings when there is an overlap in authorship between the initial and replication studies.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S31</w:t>
            </w:r>
          </w:p>
        </w:tc>
        <w:tc>
          <w:tcPr>
            <w:tcW w:type="dxa" w:w="3888"/>
          </w:tcPr>
          <w:p>
            <w:pPr>
              <w:bidi w:val="0"/>
              <w:jc w:val="start"/>
            </w:pPr>
            <w:r/>
            <w:r>
              <w:rPr>
                <w:sz w:val="18"/>
              </w:rPr>
              <w:t>The study identifies six knowledge clusters, influential contributors, and research trajectories, providing a comprehensive intellectual map of the field and future research directions.</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S32</w:t>
            </w:r>
          </w:p>
        </w:tc>
        <w:tc>
          <w:tcPr>
            <w:tcW w:type="dxa" w:w="3888"/>
            <w:shd w:val="clear" w:color="auto" w:fill="FFF5EB"/>
          </w:tcPr>
          <w:p>
            <w:pPr>
              <w:bidi w:val="0"/>
              <w:jc w:val="start"/>
            </w:pPr>
            <w:r/>
            <w:r>
              <w:rPr>
                <w:sz w:val="18"/>
              </w:rPr>
              <w:t>HRM initiatives support employee well-being; the study identifies various conceptual viewpoints on EWBHRPs and proposes a consolidated framework of essential practices.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S33</w:t>
            </w:r>
          </w:p>
        </w:tc>
        <w:tc>
          <w:tcPr>
            <w:tcW w:type="dxa" w:w="3888"/>
          </w:tcPr>
          <w:p>
            <w:pPr>
              <w:bidi w:val="0"/>
              <w:jc w:val="start"/>
            </w:pPr>
            <w:r/>
            <w:r>
              <w:rPr>
                <w:sz w:val="18"/>
              </w:rPr>
              <w:t>AI integration enables automation in data collection, citation analysis, and the disambiguation of authors, while providing more objective frameworks for research impact prediction and co-authorship network analysis.</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S34</w:t>
            </w:r>
          </w:p>
        </w:tc>
        <w:tc>
          <w:tcPr>
            <w:tcW w:type="dxa" w:w="3888"/>
            <w:shd w:val="clear" w:color="auto" w:fill="FFF5EB"/>
          </w:tcPr>
          <w:p>
            <w:pPr>
              <w:bidi w:val="0"/>
              <w:jc w:val="start"/>
            </w:pPr>
            <w:r/>
            <w:r>
              <w:rPr>
                <w:sz w:val="18"/>
              </w:rPr>
              <w:t>Research on EC is globally distributed but lacks collaboration between authors in developing and developed countries; key themes include entrepreneurship education as an antecedent to entrepreneurial intention, and EC as a driver of firm performance and economic growth.</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S35</w:t>
            </w:r>
          </w:p>
        </w:tc>
        <w:tc>
          <w:tcPr>
            <w:tcW w:type="dxa" w:w="3888"/>
          </w:tcPr>
          <w:p>
            <w:pPr>
              <w:bidi w:val="0"/>
              <w:jc w:val="start"/>
            </w:pPr>
            <w:r/>
            <w:r>
              <w:rPr>
                <w:sz w:val="18"/>
              </w:rPr>
              <w:t>AI-generated texts are often grammatically polished but lack the emotional nuance, rhetorical richness, and distinct linguistic markers of human writing, potentially eroding individual authorial voice and linguistic fingerprints.</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S36</w:t>
            </w:r>
          </w:p>
        </w:tc>
        <w:tc>
          <w:tcPr>
            <w:tcW w:type="dxa" w:w="3888"/>
            <w:shd w:val="clear" w:color="auto" w:fill="FFF5EB"/>
          </w:tcPr>
          <w:p>
            <w:pPr>
              <w:bidi w:val="0"/>
              <w:jc w:val="start"/>
            </w:pPr>
            <w:r/>
            <w:r>
              <w:rPr>
                <w:sz w:val="18"/>
              </w:rPr>
              <w:t>There is an emerging trend where intellectual property rights are increasingly granted to safeguard corporate investments rather than original creativity, challenging the traditional paradigm that IP is the law of creativity.</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S37</w:t>
            </w:r>
          </w:p>
        </w:tc>
        <w:tc>
          <w:tcPr>
            <w:tcW w:type="dxa" w:w="3888"/>
          </w:tcPr>
          <w:p>
            <w:pPr>
              <w:bidi w:val="0"/>
              <w:jc w:val="start"/>
            </w:pPr>
            <w:r/>
            <w:r>
              <w:rPr>
                <w:sz w:val="18"/>
              </w:rPr>
              <w:t>—</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S38</w:t>
            </w:r>
          </w:p>
        </w:tc>
        <w:tc>
          <w:tcPr>
            <w:tcW w:type="dxa" w:w="3888"/>
            <w:shd w:val="clear" w:color="auto" w:fill="FFF5EB"/>
          </w:tcPr>
          <w:p>
            <w:pPr>
              <w:bidi w:val="0"/>
              <w:jc w:val="start"/>
            </w:pPr>
            <w:r/>
            <w:r>
              <w:rPr>
                <w:sz w:val="18"/>
              </w:rPr>
              <w:t>The current authorship framework is ill-equipped for autonomous AI; a transition to a contribution-based model prioritizing transparency and distributed responsibility is recommended over current human-centric standards.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S39</w:t>
            </w:r>
          </w:p>
        </w:tc>
        <w:tc>
          <w:tcPr>
            <w:tcW w:type="dxa" w:w="3888"/>
          </w:tcPr>
          <w:p>
            <w:pPr>
              <w:bidi w:val="0"/>
              <w:jc w:val="start"/>
            </w:pPr>
            <w:r/>
            <w:r>
              <w:rPr>
                <w:sz w:val="18"/>
              </w:rPr>
              <w:t>—</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S40</w:t>
            </w:r>
          </w:p>
        </w:tc>
        <w:tc>
          <w:tcPr>
            <w:tcW w:type="dxa" w:w="3888"/>
            <w:shd w:val="clear" w:color="auto" w:fill="FFF5EB"/>
          </w:tcPr>
          <w:p>
            <w:pPr>
              <w:bidi w:val="0"/>
              <w:jc w:val="start"/>
            </w:pPr>
            <w:r/>
            <w:r>
              <w:rPr>
                <w:sz w:val="18"/>
              </w:rPr>
              <w:t>—</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S41</w:t>
            </w:r>
          </w:p>
        </w:tc>
        <w:tc>
          <w:tcPr>
            <w:tcW w:type="dxa" w:w="3888"/>
          </w:tcPr>
          <w:p>
            <w:pPr>
              <w:bidi w:val="0"/>
              <w:jc w:val="start"/>
            </w:pPr>
            <w:r/>
            <w:r>
              <w:rPr>
                <w:sz w:val="18"/>
              </w:rPr>
              <w:t>Co-authoring increases research output and productivity but requires clear strategies to ensure ethical, fair contributions and to navigate the complexities of multidisciplinary collaboration.</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S42</w:t>
            </w:r>
          </w:p>
        </w:tc>
        <w:tc>
          <w:tcPr>
            <w:tcW w:type="dxa" w:w="3888"/>
            <w:shd w:val="clear" w:color="auto" w:fill="FFF5EB"/>
          </w:tcPr>
          <w:p>
            <w:pPr>
              <w:bidi w:val="0"/>
              <w:jc w:val="start"/>
            </w:pPr>
            <w:r/>
            <w:r>
              <w:rPr>
                <w:sz w:val="18"/>
              </w:rPr>
              <w:t>The journal emphasizes the necessity of originality and professional discourse in academic writing, maintaining standards through a formal peer-review process.</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S43</w:t>
            </w:r>
          </w:p>
        </w:tc>
        <w:tc>
          <w:tcPr>
            <w:tcW w:type="dxa" w:w="3888"/>
          </w:tcPr>
          <w:p>
            <w:pPr>
              <w:bidi w:val="0"/>
              <w:jc w:val="start"/>
            </w:pPr>
            <w:r/>
            <w:r>
              <w:rPr>
                <w:sz w:val="18"/>
              </w:rPr>
              <w:t>—</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r>
        <w:trPr>
          <w:cantSplit/>
        </w:trPr>
        <w:tc>
          <w:tcPr>
            <w:tcW w:type="dxa" w:w="864"/>
            <w:shd w:val="clear" w:color="auto" w:fill="FFF5EB"/>
          </w:tcPr>
          <w:p>
            <w:pPr>
              <w:bidi w:val="0"/>
              <w:jc w:val="start"/>
            </w:pPr>
            <w:r/>
            <w:r>
              <w:rPr>
                <w:sz w:val="18"/>
              </w:rPr>
              <w:t>S44</w:t>
            </w:r>
          </w:p>
        </w:tc>
        <w:tc>
          <w:tcPr>
            <w:tcW w:type="dxa" w:w="3888"/>
            <w:shd w:val="clear" w:color="auto" w:fill="FFF5EB"/>
          </w:tcPr>
          <w:p>
            <w:pPr>
              <w:bidi w:val="0"/>
              <w:jc w:val="start"/>
            </w:pPr>
            <w:r/>
            <w:r>
              <w:rPr>
                <w:sz w:val="18"/>
              </w:rPr>
              <w:t>—</w:t>
            </w:r>
          </w:p>
        </w:tc>
        <w:tc>
          <w:tcPr>
            <w:tcW w:type="dxa" w:w="1440"/>
            <w:shd w:val="clear" w:color="auto" w:fill="FFF5EB"/>
          </w:tcPr>
          <w:p>
            <w:pPr>
              <w:bidi w:val="0"/>
              <w:jc w:val="start"/>
            </w:pPr>
            <w:r/>
            <w:r>
              <w:rPr>
                <w:sz w:val="18"/>
              </w:rPr>
              <w:t>Background</w:t>
            </w:r>
          </w:p>
        </w:tc>
        <w:tc>
          <w:tcPr>
            <w:tcW w:type="dxa" w:w="2016"/>
            <w:shd w:val="clear" w:color="auto" w:fill="FFF5EB"/>
          </w:tcPr>
          <w:p>
            <w:pPr>
              <w:bidi w:val="0"/>
              <w:jc w:val="start"/>
            </w:pPr>
            <w:r/>
            <w:r>
              <w:rPr>
                <w:sz w:val="18"/>
              </w:rPr>
              <w:t>Verify manually</w:t>
            </w:r>
          </w:p>
        </w:tc>
      </w:tr>
      <w:tr>
        <w:trPr>
          <w:cantSplit/>
        </w:trPr>
        <w:tc>
          <w:tcPr>
            <w:tcW w:type="dxa" w:w="864"/>
          </w:tcPr>
          <w:p>
            <w:pPr>
              <w:bidi w:val="0"/>
              <w:jc w:val="start"/>
            </w:pPr>
            <w:r/>
            <w:r>
              <w:rPr>
                <w:sz w:val="18"/>
              </w:rPr>
              <w:t>S45</w:t>
            </w:r>
          </w:p>
        </w:tc>
        <w:tc>
          <w:tcPr>
            <w:tcW w:type="dxa" w:w="3888"/>
          </w:tcPr>
          <w:p>
            <w:pPr>
              <w:bidi w:val="0"/>
              <w:jc w:val="start"/>
            </w:pPr>
            <w:r/>
            <w:r>
              <w:rPr>
                <w:sz w:val="18"/>
              </w:rPr>
              <w:t>—</w:t>
            </w:r>
          </w:p>
        </w:tc>
        <w:tc>
          <w:tcPr>
            <w:tcW w:type="dxa" w:w="1440"/>
          </w:tcPr>
          <w:p>
            <w:pPr>
              <w:bidi w:val="0"/>
              <w:jc w:val="start"/>
            </w:pPr>
            <w:r/>
            <w:r>
              <w:rPr>
                <w:sz w:val="18"/>
              </w:rPr>
              <w:t>Background</w:t>
            </w:r>
          </w:p>
        </w:tc>
        <w:tc>
          <w:tcPr>
            <w:tcW w:type="dxa" w:w="2016"/>
          </w:tcPr>
          <w:p>
            <w:pPr>
              <w:bidi w:val="0"/>
              <w:jc w:val="start"/>
            </w:pPr>
            <w:r/>
            <w:r>
              <w:rPr>
                <w:sz w:val="18"/>
              </w:rPr>
              <w:t>Verify manually</w:t>
            </w:r>
          </w:p>
        </w:tc>
      </w:tr>
    </w:tbl>
    <w:p/>
    <w:p>
      <w:pPr>
        <w:pStyle w:val="Heading1"/>
        <w:pBdr>
          <w:bottom w:val="single" w:sz="18" w:space="4" w:color="E06D00"/>
        </w:pBdr>
      </w:pPr>
      <w:r>
        <w:t>Literature / Source Summary</w:t>
      </w:r>
    </w:p>
    <w:p>
      <w:pPr>
        <w:jc w:val="left"/>
      </w:pPr>
      <w:r>
        <w:rPr>
          <w:rFonts w:ascii="Times New Roman" w:hAnsi="Times New Roman"/>
          <w:b w:val="0"/>
          <w:color w:val="6B7280"/>
          <w:sz w:val="20"/>
        </w:rPr>
        <w:t>A plain-language summary of the key sources behind your paper, to help you decide what to read and where to strengthen the argument.</w:t>
      </w:r>
    </w:p>
    <w:tbl>
      <w:tblPr>
        <w:tblStyle w:val="TableGrid"/>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1728"/>
        <w:gridCol w:w="1728"/>
        <w:gridCol w:w="1728"/>
        <w:gridCol w:w="1728"/>
        <w:gridCol w:w="1728"/>
      </w:tblGrid>
      <w:tr>
        <w:trPr>
          <w:tblHeader/>
          <w:cantSplit/>
        </w:trPr>
        <w:tc>
          <w:tcPr>
            <w:tcW w:type="dxa" w:w="720"/>
            <w:shd w:val="clear" w:color="auto" w:fill="FF7A00"/>
          </w:tcPr>
          <w:p>
            <w:pPr>
              <w:bidi w:val="0"/>
              <w:jc w:val="start"/>
            </w:pPr>
            <w:r/>
            <w:r>
              <w:rPr>
                <w:b/>
                <w:color w:val="FFFFFF"/>
                <w:sz w:val="18"/>
              </w:rPr>
              <w:t>Source</w:t>
            </w:r>
          </w:p>
        </w:tc>
        <w:tc>
          <w:tcPr>
            <w:tcW w:type="dxa" w:w="3744"/>
            <w:shd w:val="clear" w:color="auto" w:fill="FF7A00"/>
          </w:tcPr>
          <w:p>
            <w:pPr>
              <w:bidi w:val="0"/>
              <w:jc w:val="start"/>
            </w:pPr>
            <w:r/>
            <w:r>
              <w:rPr>
                <w:b/>
                <w:color w:val="FFFFFF"/>
                <w:sz w:val="18"/>
              </w:rPr>
              <w:t>Main contribution</w:t>
            </w:r>
          </w:p>
        </w:tc>
        <w:tc>
          <w:tcPr>
            <w:tcW w:type="dxa" w:w="1872"/>
            <w:shd w:val="clear" w:color="auto" w:fill="FF7A00"/>
          </w:tcPr>
          <w:p>
            <w:pPr>
              <w:bidi w:val="0"/>
              <w:jc w:val="start"/>
            </w:pPr>
            <w:r/>
            <w:r>
              <w:rPr>
                <w:b/>
                <w:color w:val="FFFFFF"/>
                <w:sz w:val="18"/>
              </w:rPr>
              <w:t>Used for</w:t>
            </w:r>
          </w:p>
        </w:tc>
        <w:tc>
          <w:tcPr>
            <w:tcW w:type="dxa" w:w="1872"/>
            <w:shd w:val="clear" w:color="auto" w:fill="FF7A00"/>
          </w:tcPr>
          <w:p>
            <w:pPr>
              <w:bidi w:val="0"/>
              <w:jc w:val="start"/>
            </w:pPr>
            <w:r/>
            <w:r>
              <w:rPr>
                <w:b/>
                <w:color w:val="FFFFFF"/>
                <w:sz w:val="18"/>
              </w:rPr>
              <w:t>Strength</w:t>
            </w:r>
          </w:p>
        </w:tc>
        <w:tc>
          <w:tcPr>
            <w:tcW w:type="dxa" w:w="2304"/>
            <w:shd w:val="clear" w:color="auto" w:fill="FF7A00"/>
          </w:tcPr>
          <w:p>
            <w:pPr>
              <w:bidi w:val="0"/>
              <w:jc w:val="start"/>
            </w:pPr>
            <w:r/>
            <w:r>
              <w:rPr>
                <w:b/>
                <w:color w:val="FFFFFF"/>
                <w:sz w:val="18"/>
              </w:rPr>
              <w:t>Limitation</w:t>
            </w:r>
          </w:p>
        </w:tc>
      </w:tr>
      <w:tr>
        <w:trPr>
          <w:cantSplit/>
        </w:trPr>
        <w:tc>
          <w:tcPr>
            <w:tcW w:type="dxa" w:w="720"/>
          </w:tcPr>
          <w:p>
            <w:pPr>
              <w:bidi w:val="0"/>
              <w:jc w:val="start"/>
            </w:pPr>
            <w:r/>
            <w:r>
              <w:rPr>
                <w:sz w:val="18"/>
              </w:rPr>
              <w:t>S1</w:t>
            </w:r>
          </w:p>
        </w:tc>
        <w:tc>
          <w:tcPr>
            <w:tcW w:type="dxa" w:w="3744"/>
          </w:tcPr>
          <w:p>
            <w:pPr>
              <w:bidi w:val="0"/>
              <w:jc w:val="start"/>
            </w:pPr>
            <w:r/>
            <w:r>
              <w:rPr>
                <w:sz w:val="18"/>
              </w:rPr>
              <w:t>Adema argues that scholarly publishing is constrained by the commodification of print, proposing that authorship should shift toward anonymous, collaborative, processual, and remixed models that embrace dynamic materiality over static originality.</w:t>
            </w:r>
          </w:p>
        </w:tc>
        <w:tc>
          <w:tcPr>
            <w:tcW w:type="dxa" w:w="1872"/>
          </w:tcPr>
          <w:p>
            <w:pPr>
              <w:bidi w:val="0"/>
              <w:jc w:val="start"/>
            </w:pPr>
            <w:r/>
            <w:r>
              <w:rPr>
                <w:sz w:val="18"/>
              </w:rPr>
              <w:t>Background / context</w:t>
            </w:r>
          </w:p>
        </w:tc>
        <w:tc>
          <w:tcPr>
            <w:tcW w:type="dxa" w:w="1872"/>
          </w:tcPr>
          <w:p>
            <w:pPr>
              <w:bidi w:val="0"/>
              <w:jc w:val="start"/>
            </w:pPr>
            <w:r/>
            <w:r>
              <w:rPr>
                <w:sz w:val="18"/>
              </w:rPr>
              <w:t>The MIT Press eBooks</w:t>
            </w:r>
          </w:p>
        </w:tc>
        <w:tc>
          <w:tcPr>
            <w:tcW w:type="dxa" w:w="2304"/>
          </w:tcPr>
          <w:p>
            <w:pPr>
              <w:bidi w:val="0"/>
              <w:jc w:val="start"/>
            </w:pPr>
            <w:r/>
            <w:r>
              <w:rPr>
                <w:sz w:val="18"/>
              </w:rPr>
              <w:t>The work is theoretical and experimental in nature, focusing on specific arts and humanities contexts rather than broad empirical validation.</w:t>
            </w:r>
          </w:p>
        </w:tc>
      </w:tr>
      <w:tr>
        <w:trPr>
          <w:cantSplit/>
        </w:trPr>
        <w:tc>
          <w:tcPr>
            <w:tcW w:type="dxa" w:w="720"/>
            <w:shd w:val="clear" w:color="auto" w:fill="FFF5EB"/>
          </w:tcPr>
          <w:p>
            <w:pPr>
              <w:bidi w:val="0"/>
              <w:jc w:val="start"/>
            </w:pPr>
            <w:r/>
            <w:r>
              <w:rPr>
                <w:sz w:val="18"/>
              </w:rPr>
              <w:t>S2</w:t>
            </w:r>
          </w:p>
        </w:tc>
        <w:tc>
          <w:tcPr>
            <w:tcW w:type="dxa" w:w="3744"/>
            <w:shd w:val="clear" w:color="auto" w:fill="FFF5EB"/>
          </w:tcPr>
          <w:p>
            <w:pPr>
              <w:bidi w:val="0"/>
              <w:jc w:val="start"/>
            </w:pPr>
            <w:r/>
            <w:r>
              <w:rPr>
                <w:sz w:val="18"/>
              </w:rPr>
              <w:t>The author rejects the anthropomorphic view of 'creative AI' in favor of a 'posthumanist agential assemblage,' suggesting that AI art necessitates a reconfiguration of the traditional author function.</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Social Science Open Access Repository (GESIS – Leibniz Institute for the Social Sciences)</w:t>
            </w:r>
          </w:p>
        </w:tc>
        <w:tc>
          <w:tcPr>
            <w:tcW w:type="dxa" w:w="2304"/>
            <w:shd w:val="clear" w:color="auto" w:fill="FFF5EB"/>
          </w:tcPr>
          <w:p>
            <w:pPr>
              <w:bidi w:val="0"/>
              <w:jc w:val="start"/>
            </w:pPr>
            <w:r/>
            <w:r>
              <w:rPr>
                <w:sz w:val="18"/>
              </w:rPr>
              <w:t>The work is primarily theoretical and philosophical rather than empirical, focusing on artistic contexts rather than academic writing specifically.</w:t>
            </w:r>
          </w:p>
        </w:tc>
      </w:tr>
      <w:tr>
        <w:trPr>
          <w:cantSplit/>
        </w:trPr>
        <w:tc>
          <w:tcPr>
            <w:tcW w:type="dxa" w:w="720"/>
          </w:tcPr>
          <w:p>
            <w:pPr>
              <w:bidi w:val="0"/>
              <w:jc w:val="start"/>
            </w:pPr>
            <w:r/>
            <w:r>
              <w:rPr>
                <w:sz w:val="18"/>
              </w:rPr>
              <w:t>S3</w:t>
            </w:r>
          </w:p>
        </w:tc>
        <w:tc>
          <w:tcPr>
            <w:tcW w:type="dxa" w:w="3744"/>
          </w:tcPr>
          <w:p>
            <w:pPr>
              <w:bidi w:val="0"/>
              <w:jc w:val="start"/>
            </w:pPr>
            <w:r/>
            <w:r>
              <w:rPr>
                <w:sz w:val="18"/>
              </w:rPr>
              <w:t>The emergence of AI-generated content necessitates a fundamental rethink of scholarly processes, specifically regarding how we define anonymity, attribution, and the epistemological relevance of published media.</w:t>
            </w:r>
          </w:p>
        </w:tc>
        <w:tc>
          <w:tcPr>
            <w:tcW w:type="dxa" w:w="1872"/>
          </w:tcPr>
          <w:p>
            <w:pPr>
              <w:bidi w:val="0"/>
              <w:jc w:val="start"/>
            </w:pPr>
            <w:r/>
            <w:r>
              <w:rPr>
                <w:sz w:val="18"/>
              </w:rPr>
              <w:t>Background / context</w:t>
            </w:r>
          </w:p>
        </w:tc>
        <w:tc>
          <w:tcPr>
            <w:tcW w:type="dxa" w:w="1872"/>
          </w:tcPr>
          <w:p>
            <w:pPr>
              <w:bidi w:val="0"/>
              <w:jc w:val="start"/>
            </w:pPr>
            <w:r/>
            <w:r>
              <w:rPr>
                <w:sz w:val="18"/>
              </w:rPr>
              <w:t>AI and Ethics</w:t>
            </w:r>
          </w:p>
        </w:tc>
        <w:tc>
          <w:tcPr>
            <w:tcW w:type="dxa" w:w="2304"/>
          </w:tcPr>
          <w:p>
            <w:pPr>
              <w:bidi w:val="0"/>
              <w:jc w:val="start"/>
            </w:pPr>
            <w:r/>
            <w:r>
              <w:rPr>
                <w:sz w:val="18"/>
              </w:rPr>
              <w:t>The paper focuses on theoretical infrastructure and architectural proposals rather than empirical testing of user adoption or social impact.</w:t>
            </w:r>
          </w:p>
        </w:tc>
      </w:tr>
      <w:tr>
        <w:trPr>
          <w:cantSplit/>
        </w:trPr>
        <w:tc>
          <w:tcPr>
            <w:tcW w:type="dxa" w:w="720"/>
            <w:shd w:val="clear" w:color="auto" w:fill="FFF5EB"/>
          </w:tcPr>
          <w:p>
            <w:pPr>
              <w:bidi w:val="0"/>
              <w:jc w:val="start"/>
            </w:pPr>
            <w:r/>
            <w:r>
              <w:rPr>
                <w:sz w:val="18"/>
              </w:rPr>
              <w:t>S4</w:t>
            </w:r>
          </w:p>
        </w:tc>
        <w:tc>
          <w:tcPr>
            <w:tcW w:type="dxa" w:w="3744"/>
            <w:shd w:val="clear" w:color="auto" w:fill="FFF5EB"/>
          </w:tcPr>
          <w:p>
            <w:pPr>
              <w:bidi w:val="0"/>
              <w:jc w:val="start"/>
            </w:pPr>
            <w:r/>
            <w:r>
              <w:rPr>
                <w:sz w:val="18"/>
              </w:rPr>
              <w:t>Humanities scholars face specific struggles in their pursuit of contributing to discourse and seeking recognition for their intellectual work within the context of national academic frameworks.</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Cambridge University Press eBooks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S5</w:t>
            </w:r>
          </w:p>
        </w:tc>
        <w:tc>
          <w:tcPr>
            <w:tcW w:type="dxa" w:w="3744"/>
          </w:tcPr>
          <w:p>
            <w:pPr>
              <w:bidi w:val="0"/>
              <w:jc w:val="start"/>
            </w:pPr>
            <w:r/>
            <w:r>
              <w:rPr>
                <w:sz w:val="18"/>
              </w:rPr>
              <w:t>Distant writing is a distributed epistemic activity where humans retain epistemic agency while delegating generative labor to non-agential LLMs; LLMs function as sophisticated tools rather than co-authors; attribution should shift from traditional…</w:t>
            </w:r>
          </w:p>
        </w:tc>
        <w:tc>
          <w:tcPr>
            <w:tcW w:type="dxa" w:w="1872"/>
          </w:tcPr>
          <w:p>
            <w:pPr>
              <w:bidi w:val="0"/>
              <w:jc w:val="start"/>
            </w:pPr>
            <w:r/>
            <w:r>
              <w:rPr>
                <w:sz w:val="18"/>
              </w:rPr>
              <w:t>Background / context</w:t>
            </w:r>
          </w:p>
        </w:tc>
        <w:tc>
          <w:tcPr>
            <w:tcW w:type="dxa" w:w="1872"/>
          </w:tcPr>
          <w:p>
            <w:pPr>
              <w:bidi w:val="0"/>
              <w:jc w:val="start"/>
            </w:pPr>
            <w:r/>
            <w:r>
              <w:rPr>
                <w:sz w:val="18"/>
              </w:rPr>
              <w:t>International Journal of Social Sciences and Humanities Invention</w:t>
            </w:r>
          </w:p>
        </w:tc>
        <w:tc>
          <w:tcPr>
            <w:tcW w:type="dxa" w:w="2304"/>
          </w:tcPr>
          <w:p>
            <w:pPr>
              <w:bidi w:val="0"/>
              <w:jc w:val="start"/>
            </w:pPr>
            <w:r/>
            <w:r>
              <w:rPr>
                <w:sz w:val="18"/>
              </w:rPr>
              <w:t>The paper relies on theoretical and normative frameworks rather than empirical data on AI usage patterns.</w:t>
            </w:r>
          </w:p>
        </w:tc>
      </w:tr>
      <w:tr>
        <w:trPr>
          <w:cantSplit/>
        </w:trPr>
        <w:tc>
          <w:tcPr>
            <w:tcW w:type="dxa" w:w="720"/>
            <w:shd w:val="clear" w:color="auto" w:fill="FFF5EB"/>
          </w:tcPr>
          <w:p>
            <w:pPr>
              <w:bidi w:val="0"/>
              <w:jc w:val="start"/>
            </w:pPr>
            <w:r/>
            <w:r>
              <w:rPr>
                <w:sz w:val="18"/>
              </w:rPr>
              <w:t>S6</w:t>
            </w:r>
          </w:p>
        </w:tc>
        <w:tc>
          <w:tcPr>
            <w:tcW w:type="dxa" w:w="3744"/>
            <w:shd w:val="clear" w:color="auto" w:fill="FFF5EB"/>
          </w:tcPr>
          <w:p>
            <w:pPr>
              <w:bidi w:val="0"/>
              <w:jc w:val="start"/>
            </w:pPr>
            <w:r/>
            <w:r>
              <w:rPr>
                <w:sz w:val="18"/>
              </w:rPr>
              <w:t>Readers tend to assign agency to NLG systems to maintain a 'hermeneutic contract'; the author suggests a continuum from 'authorship' to 'generatorship' rather than a binary, and argues that NLG systems should be viewed as social agents or 'algorithmic…</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Figshare</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S7</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Computer Law &amp;amp; Security Review</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S8</w:t>
            </w:r>
          </w:p>
        </w:tc>
        <w:tc>
          <w:tcPr>
            <w:tcW w:type="dxa" w:w="3744"/>
            <w:shd w:val="clear" w:color="auto" w:fill="FFF5EB"/>
          </w:tcPr>
          <w:p>
            <w:pPr>
              <w:bidi w:val="0"/>
              <w:jc w:val="start"/>
            </w:pPr>
            <w:r/>
            <w:r>
              <w:rPr>
                <w:sz w:val="18"/>
              </w:rPr>
              <w:t>The essay proposes 'causal authorship' to measure the distance between human and machine agents and 'distributed authorship' to account for the network of actors involved in text creation.</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German Studies Review</w:t>
            </w:r>
          </w:p>
        </w:tc>
        <w:tc>
          <w:tcPr>
            <w:tcW w:type="dxa" w:w="2304"/>
            <w:shd w:val="clear" w:color="auto" w:fill="FFF5EB"/>
          </w:tcPr>
          <w:p>
            <w:pPr>
              <w:bidi w:val="0"/>
              <w:jc w:val="start"/>
            </w:pPr>
            <w:r/>
            <w:r>
              <w:rPr>
                <w:sz w:val="18"/>
              </w:rPr>
              <w:t>The concept of causal authorship carries an anthropocentric bias, while the notion of distributed authorship has its own inherent limitations.</w:t>
            </w:r>
          </w:p>
        </w:tc>
      </w:tr>
      <w:tr>
        <w:trPr>
          <w:cantSplit/>
        </w:trPr>
        <w:tc>
          <w:tcPr>
            <w:tcW w:type="dxa" w:w="720"/>
          </w:tcPr>
          <w:p>
            <w:pPr>
              <w:bidi w:val="0"/>
              <w:jc w:val="start"/>
            </w:pPr>
            <w:r/>
            <w:r>
              <w:rPr>
                <w:sz w:val="18"/>
              </w:rPr>
              <w:t>S9</w:t>
            </w:r>
          </w:p>
        </w:tc>
        <w:tc>
          <w:tcPr>
            <w:tcW w:type="dxa" w:w="3744"/>
          </w:tcPr>
          <w:p>
            <w:pPr>
              <w:bidi w:val="0"/>
              <w:jc w:val="start"/>
            </w:pPr>
            <w:r/>
            <w:r>
              <w:rPr>
                <w:sz w:val="18"/>
              </w:rPr>
              <w:t>AI governance is an emerging, fragmented field with few explicit definitions; four identified themes are technology, stakeholders/context, regulation, and processes; key gaps include limited understanding of implementation and operationalization.</w:t>
            </w:r>
          </w:p>
        </w:tc>
        <w:tc>
          <w:tcPr>
            <w:tcW w:type="dxa" w:w="1872"/>
          </w:tcPr>
          <w:p>
            <w:pPr>
              <w:bidi w:val="0"/>
              <w:jc w:val="start"/>
            </w:pPr>
            <w:r/>
            <w:r>
              <w:rPr>
                <w:sz w:val="18"/>
              </w:rPr>
              <w:t>Background / context</w:t>
            </w:r>
          </w:p>
        </w:tc>
        <w:tc>
          <w:tcPr>
            <w:tcW w:type="dxa" w:w="1872"/>
          </w:tcPr>
          <w:p>
            <w:pPr>
              <w:bidi w:val="0"/>
              <w:jc w:val="start"/>
            </w:pPr>
            <w:r/>
            <w:r>
              <w:rPr>
                <w:sz w:val="18"/>
              </w:rPr>
              <w:t>Internet Research</w:t>
            </w:r>
          </w:p>
        </w:tc>
        <w:tc>
          <w:tcPr>
            <w:tcW w:type="dxa" w:w="2304"/>
          </w:tcPr>
          <w:p>
            <w:pPr>
              <w:bidi w:val="0"/>
              <w:jc w:val="start"/>
            </w:pPr>
            <w:r/>
            <w:r>
              <w:rPr>
                <w:sz w:val="18"/>
              </w:rPr>
              <w:t>The study identifies the field as fragmented with a lack of explicit definitions, which may limit the generalizability of current governance frameworks.</w:t>
            </w:r>
          </w:p>
        </w:tc>
      </w:tr>
      <w:tr>
        <w:trPr>
          <w:cantSplit/>
        </w:trPr>
        <w:tc>
          <w:tcPr>
            <w:tcW w:type="dxa" w:w="720"/>
            <w:shd w:val="clear" w:color="auto" w:fill="FFF5EB"/>
          </w:tcPr>
          <w:p>
            <w:pPr>
              <w:bidi w:val="0"/>
              <w:jc w:val="start"/>
            </w:pPr>
            <w:r/>
            <w:r>
              <w:rPr>
                <w:sz w:val="18"/>
              </w:rPr>
              <w:t>S10</w:t>
            </w:r>
          </w:p>
        </w:tc>
        <w:tc>
          <w:tcPr>
            <w:tcW w:type="dxa" w:w="3744"/>
            <w:shd w:val="clear" w:color="auto" w:fill="FFF5EB"/>
          </w:tcPr>
          <w:p>
            <w:pPr>
              <w:bidi w:val="0"/>
              <w:jc w:val="start"/>
            </w:pPr>
            <w:r/>
            <w:r>
              <w:rPr>
                <w:sz w:val="18"/>
              </w:rPr>
              <w:t>The 'legitimation paradox' describes how fanfiction utilizes traditional notions of authorship to gain legitimacy while simultaneously contesting and deconstructing the authority of media professionals.</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Amsterdam University Press eBooks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S11</w:t>
            </w:r>
          </w:p>
        </w:tc>
        <w:tc>
          <w:tcPr>
            <w:tcW w:type="dxa" w:w="3744"/>
          </w:tcPr>
          <w:p>
            <w:pPr>
              <w:bidi w:val="0"/>
              <w:jc w:val="start"/>
            </w:pPr>
            <w:r/>
            <w:r>
              <w:rPr>
                <w:sz w:val="18"/>
              </w:rPr>
              <w:t>Authorship is a complex, multifaceted concept that cannot be reduced to a single definition; it encompasses various functions such as precursory, executive, collaborative, and revisionary authorship.</w:t>
            </w:r>
          </w:p>
        </w:tc>
        <w:tc>
          <w:tcPr>
            <w:tcW w:type="dxa" w:w="1872"/>
          </w:tcPr>
          <w:p>
            <w:pPr>
              <w:bidi w:val="0"/>
              <w:jc w:val="start"/>
            </w:pPr>
            <w:r/>
            <w:r>
              <w:rPr>
                <w:sz w:val="18"/>
              </w:rPr>
              <w:t>Background / context</w:t>
            </w:r>
          </w:p>
        </w:tc>
        <w:tc>
          <w:tcPr>
            <w:tcW w:type="dxa" w:w="1872"/>
          </w:tcPr>
          <w:p>
            <w:pPr>
              <w:bidi w:val="0"/>
              <w:jc w:val="start"/>
            </w:pPr>
            <w:r/>
            <w:r>
              <w:rPr>
                <w:sz w:val="18"/>
              </w:rPr>
              <w:t>Bamberger Orientstudien</w:t>
            </w:r>
          </w:p>
        </w:tc>
        <w:tc>
          <w:tcPr>
            <w:tcW w:type="dxa" w:w="2304"/>
          </w:tcPr>
          <w:p>
            <w:pPr>
              <w:bidi w:val="0"/>
              <w:jc w:val="start"/>
            </w:pPr>
            <w:r/>
            <w:r>
              <w:rPr>
                <w:sz w:val="18"/>
              </w:rPr>
              <w:t>The application of modern literary theories (such as Barthes' 'Death of the Author') to medieval or pre-modern literature is often problematic and lacks…</w:t>
            </w:r>
          </w:p>
        </w:tc>
      </w:tr>
      <w:tr>
        <w:trPr>
          <w:cantSplit/>
        </w:trPr>
        <w:tc>
          <w:tcPr>
            <w:tcW w:type="dxa" w:w="720"/>
            <w:shd w:val="clear" w:color="auto" w:fill="FFF5EB"/>
          </w:tcPr>
          <w:p>
            <w:pPr>
              <w:bidi w:val="0"/>
              <w:jc w:val="start"/>
            </w:pPr>
            <w:r/>
            <w:r>
              <w:rPr>
                <w:sz w:val="18"/>
              </w:rPr>
              <w:t>S12</w:t>
            </w:r>
          </w:p>
        </w:tc>
        <w:tc>
          <w:tcPr>
            <w:tcW w:type="dxa" w:w="3744"/>
            <w:shd w:val="clear" w:color="auto" w:fill="FFF5EB"/>
          </w:tcPr>
          <w:p>
            <w:pPr>
              <w:bidi w:val="0"/>
              <w:jc w:val="start"/>
            </w:pPr>
            <w:r/>
            <w:r>
              <w:rPr>
                <w:sz w:val="18"/>
              </w:rPr>
              <w:t>—</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The Continental Aesthetics Reader</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S13</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Textual Strategies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S14</w:t>
            </w:r>
          </w:p>
        </w:tc>
        <w:tc>
          <w:tcPr>
            <w:tcW w:type="dxa" w:w="3744"/>
            <w:shd w:val="clear" w:color="auto" w:fill="FFF5EB"/>
          </w:tcPr>
          <w:p>
            <w:pPr>
              <w:bidi w:val="0"/>
              <w:jc w:val="start"/>
            </w:pPr>
            <w:r/>
            <w:r>
              <w:rPr>
                <w:sz w:val="18"/>
              </w:rPr>
              <w:t>Increasing the diversity and quantity of input materials improves the depth and coherence of generated reviews, though current outputs do not yet meet top-tier publication standards for critical analysis and originality.</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ACS Applied Materials &amp;amp; Interfaces</w:t>
            </w:r>
          </w:p>
        </w:tc>
        <w:tc>
          <w:tcPr>
            <w:tcW w:type="dxa" w:w="2304"/>
            <w:shd w:val="clear" w:color="auto" w:fill="FFF5EB"/>
          </w:tcPr>
          <w:p>
            <w:pPr>
              <w:bidi w:val="0"/>
              <w:jc w:val="start"/>
            </w:pPr>
            <w:r/>
            <w:r>
              <w:rPr>
                <w:sz w:val="18"/>
              </w:rPr>
              <w:t>The generated drafts currently fail to meet the standards of top-tier publications, specifically regarding originality and critical analysis.</w:t>
            </w:r>
          </w:p>
        </w:tc>
      </w:tr>
      <w:tr>
        <w:trPr>
          <w:cantSplit/>
        </w:trPr>
        <w:tc>
          <w:tcPr>
            <w:tcW w:type="dxa" w:w="720"/>
          </w:tcPr>
          <w:p>
            <w:pPr>
              <w:bidi w:val="0"/>
              <w:jc w:val="start"/>
            </w:pPr>
            <w:r/>
            <w:r>
              <w:rPr>
                <w:sz w:val="18"/>
              </w:rPr>
              <w:t>S15</w:t>
            </w:r>
          </w:p>
        </w:tc>
        <w:tc>
          <w:tcPr>
            <w:tcW w:type="dxa" w:w="3744"/>
          </w:tcPr>
          <w:p>
            <w:pPr>
              <w:bidi w:val="0"/>
              <w:jc w:val="start"/>
            </w:pPr>
            <w:r/>
            <w:r>
              <w:rPr>
                <w:sz w:val="18"/>
              </w:rPr>
              <w:t>AI-generated art blurs the distinction between original and reproduction, leading to an emergent 'hybridized' form of aura resulting from the synergy of human intention and machine execution.</w:t>
            </w:r>
          </w:p>
        </w:tc>
        <w:tc>
          <w:tcPr>
            <w:tcW w:type="dxa" w:w="1872"/>
          </w:tcPr>
          <w:p>
            <w:pPr>
              <w:bidi w:val="0"/>
              <w:jc w:val="start"/>
            </w:pPr>
            <w:r/>
            <w:r>
              <w:rPr>
                <w:sz w:val="18"/>
              </w:rPr>
              <w:t>Background / context</w:t>
            </w:r>
          </w:p>
        </w:tc>
        <w:tc>
          <w:tcPr>
            <w:tcW w:type="dxa" w:w="1872"/>
          </w:tcPr>
          <w:p>
            <w:pPr>
              <w:bidi w:val="0"/>
              <w:jc w:val="start"/>
            </w:pPr>
            <w:r/>
            <w:r>
              <w:rPr>
                <w:sz w:val="18"/>
              </w:rPr>
              <w:t>AI &amp;amp; SOCIETY</w:t>
            </w:r>
          </w:p>
        </w:tc>
        <w:tc>
          <w:tcPr>
            <w:tcW w:type="dxa" w:w="2304"/>
          </w:tcPr>
          <w:p>
            <w:pPr>
              <w:bidi w:val="0"/>
              <w:jc w:val="start"/>
            </w:pPr>
            <w:r/>
            <w:r>
              <w:rPr>
                <w:sz w:val="18"/>
              </w:rPr>
              <w:t>The study identifies a gap in existing literature and notes polarized views on AI's impact on creativity and authenticity.</w:t>
            </w:r>
          </w:p>
        </w:tc>
      </w:tr>
      <w:tr>
        <w:trPr>
          <w:cantSplit/>
        </w:trPr>
        <w:tc>
          <w:tcPr>
            <w:tcW w:type="dxa" w:w="720"/>
            <w:shd w:val="clear" w:color="auto" w:fill="FFF5EB"/>
          </w:tcPr>
          <w:p>
            <w:pPr>
              <w:bidi w:val="0"/>
              <w:jc w:val="start"/>
            </w:pPr>
            <w:r/>
            <w:r>
              <w:rPr>
                <w:sz w:val="18"/>
              </w:rPr>
              <w:t>S16</w:t>
            </w:r>
          </w:p>
        </w:tc>
        <w:tc>
          <w:tcPr>
            <w:tcW w:type="dxa" w:w="3744"/>
            <w:shd w:val="clear" w:color="auto" w:fill="FFF5EB"/>
          </w:tcPr>
          <w:p>
            <w:pPr>
              <w:bidi w:val="0"/>
              <w:jc w:val="start"/>
            </w:pPr>
            <w:r/>
            <w:r>
              <w:rPr>
                <w:sz w:val="18"/>
              </w:rPr>
              <w:t>The attribution of 'Arden of Faversham' to Shakespeare is found to be suspect because the underlying models lack sufficient justification, the data are insufficiently specific, and the methods are too opaque for rigorous academic scrutiny.</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Authorship</w:t>
            </w:r>
          </w:p>
        </w:tc>
        <w:tc>
          <w:tcPr>
            <w:tcW w:type="dxa" w:w="2304"/>
            <w:shd w:val="clear" w:color="auto" w:fill="FFF5EB"/>
          </w:tcPr>
          <w:p>
            <w:pPr>
              <w:bidi w:val="0"/>
              <w:jc w:val="start"/>
            </w:pPr>
            <w:r/>
            <w:r>
              <w:rPr>
                <w:sz w:val="18"/>
              </w:rPr>
              <w:t>The critique focuses on the specific application of quantitative methods in one study and suggests that current authorship studies suffer from an impoverished…</w:t>
            </w:r>
          </w:p>
        </w:tc>
      </w:tr>
      <w:tr>
        <w:trPr>
          <w:cantSplit/>
        </w:trPr>
        <w:tc>
          <w:tcPr>
            <w:tcW w:type="dxa" w:w="720"/>
          </w:tcPr>
          <w:p>
            <w:pPr>
              <w:bidi w:val="0"/>
              <w:jc w:val="start"/>
            </w:pPr>
            <w:r/>
            <w:r>
              <w:rPr>
                <w:sz w:val="18"/>
              </w:rPr>
              <w:t>S17</w:t>
            </w:r>
          </w:p>
        </w:tc>
        <w:tc>
          <w:tcPr>
            <w:tcW w:type="dxa" w:w="3744"/>
          </w:tcPr>
          <w:p>
            <w:pPr>
              <w:bidi w:val="0"/>
              <w:jc w:val="start"/>
            </w:pPr>
            <w:r/>
            <w:r>
              <w:rPr>
                <w:sz w:val="18"/>
              </w:rPr>
              <w:t>Twitter serves as a platform for the continuous, mass-scale reshaping of authorial identity, though digital performance often requires remediation into print media to achieve traditional cultural legitimacy.</w:t>
            </w:r>
          </w:p>
        </w:tc>
        <w:tc>
          <w:tcPr>
            <w:tcW w:type="dxa" w:w="1872"/>
          </w:tcPr>
          <w:p>
            <w:pPr>
              <w:bidi w:val="0"/>
              <w:jc w:val="start"/>
            </w:pPr>
            <w:r/>
            <w:r>
              <w:rPr>
                <w:sz w:val="18"/>
              </w:rPr>
              <w:t>Background / context</w:t>
            </w:r>
          </w:p>
        </w:tc>
        <w:tc>
          <w:tcPr>
            <w:tcW w:type="dxa" w:w="1872"/>
          </w:tcPr>
          <w:p>
            <w:pPr>
              <w:bidi w:val="0"/>
              <w:jc w:val="start"/>
            </w:pPr>
            <w:r/>
            <w:r>
              <w:rPr>
                <w:sz w:val="18"/>
              </w:rPr>
              <w:t>Authorship</w:t>
            </w:r>
          </w:p>
        </w:tc>
        <w:tc>
          <w:tcPr>
            <w:tcW w:type="dxa" w:w="2304"/>
          </w:tcPr>
          <w:p>
            <w:pPr>
              <w:bidi w:val="0"/>
              <w:jc w:val="start"/>
            </w:pPr>
            <w:r/>
            <w:r>
              <w:rPr>
                <w:sz w:val="18"/>
              </w:rPr>
              <w:t>The study is limited by the dominant role of print media in defining authorship, which restricts the efficacy of purely digital identity performance.</w:t>
            </w:r>
          </w:p>
        </w:tc>
      </w:tr>
      <w:tr>
        <w:trPr>
          <w:cantSplit/>
        </w:trPr>
        <w:tc>
          <w:tcPr>
            <w:tcW w:type="dxa" w:w="720"/>
            <w:shd w:val="clear" w:color="auto" w:fill="FFF5EB"/>
          </w:tcPr>
          <w:p>
            <w:pPr>
              <w:bidi w:val="0"/>
              <w:jc w:val="start"/>
            </w:pPr>
            <w:r/>
            <w:r>
              <w:rPr>
                <w:sz w:val="18"/>
              </w:rPr>
              <w:t>S18</w:t>
            </w:r>
          </w:p>
        </w:tc>
        <w:tc>
          <w:tcPr>
            <w:tcW w:type="dxa" w:w="3744"/>
            <w:shd w:val="clear" w:color="auto" w:fill="FFF5EB"/>
          </w:tcPr>
          <w:p>
            <w:pPr>
              <w:bidi w:val="0"/>
              <w:jc w:val="start"/>
            </w:pPr>
            <w:r/>
            <w:r>
              <w:rPr>
                <w:sz w:val="18"/>
              </w:rPr>
              <w:t>—</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S19</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New Writing</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S20</w:t>
            </w:r>
          </w:p>
        </w:tc>
        <w:tc>
          <w:tcPr>
            <w:tcW w:type="dxa" w:w="3744"/>
            <w:shd w:val="clear" w:color="auto" w:fill="FFF5EB"/>
          </w:tcPr>
          <w:p>
            <w:pPr>
              <w:bidi w:val="0"/>
              <w:jc w:val="start"/>
            </w:pPr>
            <w:r/>
            <w:r>
              <w:rPr>
                <w:sz w:val="18"/>
              </w:rPr>
              <w:t>Early modern playtexts are products of complex, iterative processes involving authors, scribes, printers, and actors; therefore, stylistic markers are often layered and difficult to isolate to a single source.</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Journal of Early Modern Studies</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S21</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Findings of the Association for Computational Linguistics: EMNLP 2025</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S22</w:t>
            </w:r>
          </w:p>
        </w:tc>
        <w:tc>
          <w:tcPr>
            <w:tcW w:type="dxa" w:w="3744"/>
            <w:shd w:val="clear" w:color="auto" w:fill="FFF5EB"/>
          </w:tcPr>
          <w:p>
            <w:pPr>
              <w:bidi w:val="0"/>
              <w:jc w:val="start"/>
            </w:pPr>
            <w:r/>
            <w:r>
              <w:rPr>
                <w:sz w:val="18"/>
              </w:rPr>
              <w:t>AI-generated outputs in their raw form fail the originality requirement due to a lack of human intellectual choice; Indonesian law restricts authorship to human creators; protection should be limited to human-authored post-production or highly creative…</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Jurnal Hukum Progresif</w:t>
            </w:r>
          </w:p>
        </w:tc>
        <w:tc>
          <w:tcPr>
            <w:tcW w:type="dxa" w:w="2304"/>
            <w:shd w:val="clear" w:color="auto" w:fill="FFF5EB"/>
          </w:tcPr>
          <w:p>
            <w:pPr>
              <w:bidi w:val="0"/>
              <w:jc w:val="start"/>
            </w:pPr>
            <w:r/>
            <w:r>
              <w:rPr>
                <w:sz w:val="18"/>
              </w:rPr>
              <w:t>The study is focused specifically on the Indonesian legal framework and its anthropocentric copyright doctrine.</w:t>
            </w:r>
          </w:p>
        </w:tc>
      </w:tr>
      <w:tr>
        <w:trPr>
          <w:cantSplit/>
        </w:trPr>
        <w:tc>
          <w:tcPr>
            <w:tcW w:type="dxa" w:w="720"/>
          </w:tcPr>
          <w:p>
            <w:pPr>
              <w:bidi w:val="0"/>
              <w:jc w:val="start"/>
            </w:pPr>
            <w:r/>
            <w:r>
              <w:rPr>
                <w:sz w:val="18"/>
              </w:rPr>
              <w:t>S23</w:t>
            </w:r>
          </w:p>
        </w:tc>
        <w:tc>
          <w:tcPr>
            <w:tcW w:type="dxa" w:w="3744"/>
          </w:tcPr>
          <w:p>
            <w:pPr>
              <w:bidi w:val="0"/>
              <w:jc w:val="start"/>
            </w:pPr>
            <w:r/>
            <w:r>
              <w:rPr>
                <w:sz w:val="18"/>
              </w:rPr>
              <w:t>Attributing authorship requires intention, agency, and awareness of the creative act; these criteria create significant ethical, philosophical, and legal challenges when applied to non-human entities like AI.</w:t>
            </w:r>
          </w:p>
        </w:tc>
        <w:tc>
          <w:tcPr>
            <w:tcW w:type="dxa" w:w="1872"/>
          </w:tcPr>
          <w:p>
            <w:pPr>
              <w:bidi w:val="0"/>
              <w:jc w:val="start"/>
            </w:pPr>
            <w:r/>
            <w:r>
              <w:rPr>
                <w:sz w:val="18"/>
              </w:rPr>
              <w:t>Background / context</w:t>
            </w:r>
          </w:p>
        </w:tc>
        <w:tc>
          <w:tcPr>
            <w:tcW w:type="dxa" w:w="1872"/>
          </w:tcPr>
          <w:p>
            <w:pPr>
              <w:bidi w:val="0"/>
              <w:jc w:val="start"/>
            </w:pPr>
            <w:r/>
            <w:r>
              <w:rPr>
                <w:sz w:val="18"/>
              </w:rPr>
              <w:t>Humanities and Social Sciences Communications</w:t>
            </w:r>
          </w:p>
        </w:tc>
        <w:tc>
          <w:tcPr>
            <w:tcW w:type="dxa" w:w="2304"/>
          </w:tcPr>
          <w:p>
            <w:pPr>
              <w:bidi w:val="0"/>
              <w:jc w:val="start"/>
            </w:pPr>
            <w:r/>
            <w:r>
              <w:rPr>
                <w:sz w:val="18"/>
              </w:rPr>
              <w:t>The paper functions as a reflective, multidisciplinary dialogue rather than an empirical study, leaving the definitions of authorship open to ongoing debate.</w:t>
            </w:r>
          </w:p>
        </w:tc>
      </w:tr>
      <w:tr>
        <w:trPr>
          <w:cantSplit/>
        </w:trPr>
        <w:tc>
          <w:tcPr>
            <w:tcW w:type="dxa" w:w="720"/>
            <w:shd w:val="clear" w:color="auto" w:fill="FFF5EB"/>
          </w:tcPr>
          <w:p>
            <w:pPr>
              <w:bidi w:val="0"/>
              <w:jc w:val="start"/>
            </w:pPr>
            <w:r/>
            <w:r>
              <w:rPr>
                <w:sz w:val="18"/>
              </w:rPr>
              <w:t>S24</w:t>
            </w:r>
          </w:p>
        </w:tc>
        <w:tc>
          <w:tcPr>
            <w:tcW w:type="dxa" w:w="3744"/>
            <w:shd w:val="clear" w:color="auto" w:fill="FFF5EB"/>
          </w:tcPr>
          <w:p>
            <w:pPr>
              <w:bidi w:val="0"/>
              <w:jc w:val="start"/>
            </w:pPr>
            <w:r/>
            <w:r>
              <w:rPr>
                <w:sz w:val="18"/>
              </w:rPr>
              <w:t>The integration of generative AI challenges traditional notions of human-centric authorship, necessitating a re-evaluation of copyright eligibility for machine-assisted works.</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arXiv (Cornell University)</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S25</w:t>
            </w:r>
          </w:p>
        </w:tc>
        <w:tc>
          <w:tcPr>
            <w:tcW w:type="dxa" w:w="3744"/>
          </w:tcPr>
          <w:p>
            <w:pPr>
              <w:bidi w:val="0"/>
              <w:jc w:val="start"/>
            </w:pPr>
            <w:r/>
            <w:r>
              <w:rPr>
                <w:sz w:val="18"/>
              </w:rPr>
              <w:t>The study identifies three major gaps: ambiguity in AI authorship and attribution, procedural underperformance in enforcement, and limited cross-border legal cooperation.</w:t>
            </w:r>
          </w:p>
        </w:tc>
        <w:tc>
          <w:tcPr>
            <w:tcW w:type="dxa" w:w="1872"/>
          </w:tcPr>
          <w:p>
            <w:pPr>
              <w:bidi w:val="0"/>
              <w:jc w:val="start"/>
            </w:pPr>
            <w:r/>
            <w:r>
              <w:rPr>
                <w:sz w:val="18"/>
              </w:rPr>
              <w:t>Background / context</w:t>
            </w:r>
          </w:p>
        </w:tc>
        <w:tc>
          <w:tcPr>
            <w:tcW w:type="dxa" w:w="1872"/>
          </w:tcPr>
          <w:p>
            <w:pPr>
              <w:bidi w:val="0"/>
              <w:jc w:val="start"/>
            </w:pPr>
            <w:r/>
            <w:r>
              <w:rPr>
                <w:sz w:val="18"/>
              </w:rPr>
              <w:t>Frontiers in Human Dynamics</w:t>
            </w:r>
          </w:p>
        </w:tc>
        <w:tc>
          <w:tcPr>
            <w:tcW w:type="dxa" w:w="2304"/>
          </w:tcPr>
          <w:p>
            <w:pPr>
              <w:bidi w:val="0"/>
              <w:jc w:val="start"/>
            </w:pPr>
            <w:r/>
            <w:r>
              <w:rPr>
                <w:sz w:val="18"/>
              </w:rPr>
              <w:t>The research focuses primarily on the Jordanian legal context and its specific digital intellectual property governance.</w:t>
            </w:r>
          </w:p>
        </w:tc>
      </w:tr>
      <w:tr>
        <w:trPr>
          <w:cantSplit/>
        </w:trPr>
        <w:tc>
          <w:tcPr>
            <w:tcW w:type="dxa" w:w="720"/>
            <w:shd w:val="clear" w:color="auto" w:fill="FFF5EB"/>
          </w:tcPr>
          <w:p>
            <w:pPr>
              <w:bidi w:val="0"/>
              <w:jc w:val="start"/>
            </w:pPr>
            <w:r/>
            <w:r>
              <w:rPr>
                <w:sz w:val="18"/>
              </w:rPr>
              <w:t>S26</w:t>
            </w:r>
          </w:p>
        </w:tc>
        <w:tc>
          <w:tcPr>
            <w:tcW w:type="dxa" w:w="3744"/>
            <w:shd w:val="clear" w:color="auto" w:fill="FFF5EB"/>
          </w:tcPr>
          <w:p>
            <w:pPr>
              <w:bidi w:val="0"/>
              <w:jc w:val="start"/>
            </w:pPr>
            <w:r/>
            <w:r>
              <w:rPr>
                <w:sz w:val="18"/>
              </w:rPr>
              <w:t>Generative AI should be viewed as a collaborative tool that augments human creativity rather than replacing it; the authors advocate for a framework of human oversight that maintains academic accountability while embracing the democratization of knowledge…</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AI Magazine</w:t>
            </w:r>
          </w:p>
        </w:tc>
        <w:tc>
          <w:tcPr>
            <w:tcW w:type="dxa" w:w="2304"/>
            <w:shd w:val="clear" w:color="auto" w:fill="FFF5EB"/>
          </w:tcPr>
          <w:p>
            <w:pPr>
              <w:bidi w:val="0"/>
              <w:jc w:val="start"/>
            </w:pPr>
            <w:r/>
            <w:r>
              <w:rPr>
                <w:sz w:val="18"/>
              </w:rPr>
              <w:t>The study is a theoretical essay rather than an empirical investigation, lacking data on specific institutional implementation or student/faculty outcomes.</w:t>
            </w:r>
          </w:p>
        </w:tc>
      </w:tr>
      <w:tr>
        <w:trPr>
          <w:cantSplit/>
        </w:trPr>
        <w:tc>
          <w:tcPr>
            <w:tcW w:type="dxa" w:w="720"/>
          </w:tcPr>
          <w:p>
            <w:pPr>
              <w:bidi w:val="0"/>
              <w:jc w:val="start"/>
            </w:pPr>
            <w:r/>
            <w:r>
              <w:rPr>
                <w:sz w:val="18"/>
              </w:rPr>
              <w:t>S27</w:t>
            </w:r>
          </w:p>
        </w:tc>
        <w:tc>
          <w:tcPr>
            <w:tcW w:type="dxa" w:w="3744"/>
          </w:tcPr>
          <w:p>
            <w:pPr>
              <w:bidi w:val="0"/>
              <w:jc w:val="start"/>
            </w:pPr>
            <w:r/>
            <w:r>
              <w:rPr>
                <w:sz w:val="18"/>
              </w:rPr>
              <w:t>Parafictional artists function as authors within the art world despite their imaginary nature; their practice moves beyond a simple critique of authorship toward a curatorial understanding that contributes to the production of knowledge through fiction.</w:t>
            </w:r>
          </w:p>
        </w:tc>
        <w:tc>
          <w:tcPr>
            <w:tcW w:type="dxa" w:w="1872"/>
          </w:tcPr>
          <w:p>
            <w:pPr>
              <w:bidi w:val="0"/>
              <w:jc w:val="start"/>
            </w:pPr>
            <w:r/>
            <w:r>
              <w:rPr>
                <w:sz w:val="18"/>
              </w:rPr>
              <w:t>Background / context</w:t>
            </w:r>
          </w:p>
        </w:tc>
        <w:tc>
          <w:tcPr>
            <w:tcW w:type="dxa" w:w="1872"/>
          </w:tcPr>
          <w:p>
            <w:pPr>
              <w:bidi w:val="0"/>
              <w:jc w:val="start"/>
            </w:pPr>
            <w:r/>
            <w:r>
              <w:rPr>
                <w:sz w:val="18"/>
              </w:rPr>
              <w:t>Archive of research processes and output produced by RCA (Royal College of Art)</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S28</w:t>
            </w:r>
          </w:p>
        </w:tc>
        <w:tc>
          <w:tcPr>
            <w:tcW w:type="dxa" w:w="3744"/>
            <w:shd w:val="clear" w:color="auto" w:fill="FFF5EB"/>
          </w:tcPr>
          <w:p>
            <w:pPr>
              <w:bidi w:val="0"/>
              <w:jc w:val="start"/>
            </w:pPr>
            <w:r/>
            <w:r>
              <w:rPr>
                <w:sz w:val="18"/>
              </w:rPr>
              <w:t>—</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S29</w:t>
            </w:r>
          </w:p>
        </w:tc>
        <w:tc>
          <w:tcPr>
            <w:tcW w:type="dxa" w:w="3744"/>
          </w:tcPr>
          <w:p>
            <w:pPr>
              <w:bidi w:val="0"/>
              <w:jc w:val="start"/>
            </w:pPr>
            <w:r/>
            <w:r>
              <w:rPr>
                <w:sz w:val="18"/>
              </w:rPr>
              <w:t>Biblical studies should shift from focusing on the author's original intent to an outward-facing approach that embraces the ongoing, symbiotic meaning-making process inherent in the Bible's reception history.</w:t>
            </w:r>
          </w:p>
        </w:tc>
        <w:tc>
          <w:tcPr>
            <w:tcW w:type="dxa" w:w="1872"/>
          </w:tcPr>
          <w:p>
            <w:pPr>
              <w:bidi w:val="0"/>
              <w:jc w:val="start"/>
            </w:pPr>
            <w:r/>
            <w:r>
              <w:rPr>
                <w:sz w:val="18"/>
              </w:rPr>
              <w:t>Background / context</w:t>
            </w:r>
          </w:p>
        </w:tc>
        <w:tc>
          <w:tcPr>
            <w:tcW w:type="dxa" w:w="1872"/>
          </w:tcPr>
          <w:p>
            <w:pPr>
              <w:bidi w:val="0"/>
              <w:jc w:val="start"/>
            </w:pPr>
            <w:r/>
            <w:r>
              <w:rPr>
                <w:sz w:val="18"/>
              </w:rPr>
              <w:t>Biblical Exegesis without Authorial Intention?</w:t>
            </w:r>
          </w:p>
        </w:tc>
        <w:tc>
          <w:tcPr>
            <w:tcW w:type="dxa" w:w="2304"/>
          </w:tcPr>
          <w:p>
            <w:pPr>
              <w:bidi w:val="0"/>
              <w:jc w:val="start"/>
            </w:pPr>
            <w:r/>
            <w:r>
              <w:rPr>
                <w:sz w:val="18"/>
              </w:rPr>
              <w:t>The study is theoretical and philosophical in nature, lacking empirical data on contemporary academic writing practices.</w:t>
            </w:r>
          </w:p>
        </w:tc>
      </w:tr>
      <w:tr>
        <w:trPr>
          <w:cantSplit/>
        </w:trPr>
        <w:tc>
          <w:tcPr>
            <w:tcW w:type="dxa" w:w="720"/>
            <w:shd w:val="clear" w:color="auto" w:fill="FFF5EB"/>
          </w:tcPr>
          <w:p>
            <w:pPr>
              <w:bidi w:val="0"/>
              <w:jc w:val="start"/>
            </w:pPr>
            <w:r/>
            <w:r>
              <w:rPr>
                <w:sz w:val="18"/>
              </w:rPr>
              <w:t>S30</w:t>
            </w:r>
          </w:p>
        </w:tc>
        <w:tc>
          <w:tcPr>
            <w:tcW w:type="dxa" w:w="3744"/>
            <w:shd w:val="clear" w:color="auto" w:fill="FFF5EB"/>
          </w:tcPr>
          <w:p>
            <w:pPr>
              <w:bidi w:val="0"/>
              <w:jc w:val="start"/>
            </w:pPr>
            <w:r/>
            <w:r>
              <w:rPr>
                <w:sz w:val="18"/>
              </w:rPr>
              <w:t>Replication studies are rare (1 per 400 articles), often involve significant changes to original study designs, and show a higher likelihood of supporting initial findings when there is an overlap in authorship between the initial and replication studies.</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Language Learning</w:t>
            </w:r>
          </w:p>
        </w:tc>
        <w:tc>
          <w:tcPr>
            <w:tcW w:type="dxa" w:w="2304"/>
            <w:shd w:val="clear" w:color="auto" w:fill="FFF5EB"/>
          </w:tcPr>
          <w:p>
            <w:pPr>
              <w:bidi w:val="0"/>
              <w:jc w:val="start"/>
            </w:pPr>
            <w:r/>
            <w:r>
              <w:rPr>
                <w:sz w:val="18"/>
              </w:rPr>
              <w:t>The sample contained no direct (exact) replication attempts, and the wide-ranging changes made to initial studies likely obscured the interpretability of the…</w:t>
            </w:r>
          </w:p>
        </w:tc>
      </w:tr>
      <w:tr>
        <w:trPr>
          <w:cantSplit/>
        </w:trPr>
        <w:tc>
          <w:tcPr>
            <w:tcW w:type="dxa" w:w="720"/>
          </w:tcPr>
          <w:p>
            <w:pPr>
              <w:bidi w:val="0"/>
              <w:jc w:val="start"/>
            </w:pPr>
            <w:r/>
            <w:r>
              <w:rPr>
                <w:sz w:val="18"/>
              </w:rPr>
              <w:t>S31</w:t>
            </w:r>
          </w:p>
        </w:tc>
        <w:tc>
          <w:tcPr>
            <w:tcW w:type="dxa" w:w="3744"/>
          </w:tcPr>
          <w:p>
            <w:pPr>
              <w:bidi w:val="0"/>
              <w:jc w:val="start"/>
            </w:pPr>
            <w:r/>
            <w:r>
              <w:rPr>
                <w:sz w:val="18"/>
              </w:rPr>
              <w:t>The study identifies six knowledge clusters, influential contributors, and research trajectories, providing a comprehensive intellectual map of the field and future research directions.</w:t>
            </w:r>
          </w:p>
        </w:tc>
        <w:tc>
          <w:tcPr>
            <w:tcW w:type="dxa" w:w="1872"/>
          </w:tcPr>
          <w:p>
            <w:pPr>
              <w:bidi w:val="0"/>
              <w:jc w:val="start"/>
            </w:pPr>
            <w:r/>
            <w:r>
              <w:rPr>
                <w:sz w:val="18"/>
              </w:rPr>
              <w:t>Background / context</w:t>
            </w:r>
          </w:p>
        </w:tc>
        <w:tc>
          <w:tcPr>
            <w:tcW w:type="dxa" w:w="1872"/>
          </w:tcPr>
          <w:p>
            <w:pPr>
              <w:bidi w:val="0"/>
              <w:jc w:val="start"/>
            </w:pPr>
            <w:r/>
            <w:r>
              <w:rPr>
                <w:sz w:val="18"/>
              </w:rPr>
              <w:t>International Journal of Consumer Studies</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S32</w:t>
            </w:r>
          </w:p>
        </w:tc>
        <w:tc>
          <w:tcPr>
            <w:tcW w:type="dxa" w:w="3744"/>
            <w:shd w:val="clear" w:color="auto" w:fill="FFF5EB"/>
          </w:tcPr>
          <w:p>
            <w:pPr>
              <w:bidi w:val="0"/>
              <w:jc w:val="start"/>
            </w:pPr>
            <w:r/>
            <w:r>
              <w:rPr>
                <w:sz w:val="18"/>
              </w:rPr>
              <w:t>HRM initiatives support employee well-being; the study identifies various conceptual viewpoints on EWBHRPs and proposes a consolidated framework of essential practices.</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Future Business Journal</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S33</w:t>
            </w:r>
          </w:p>
        </w:tc>
        <w:tc>
          <w:tcPr>
            <w:tcW w:type="dxa" w:w="3744"/>
          </w:tcPr>
          <w:p>
            <w:pPr>
              <w:bidi w:val="0"/>
              <w:jc w:val="start"/>
            </w:pPr>
            <w:r/>
            <w:r>
              <w:rPr>
                <w:sz w:val="18"/>
              </w:rPr>
              <w:t>AI integration enables automation in data collection, citation analysis, and the disambiguation of authors, while providing more objective frameworks for research impact prediction and co-authorship network analysis.</w:t>
            </w:r>
          </w:p>
        </w:tc>
        <w:tc>
          <w:tcPr>
            <w:tcW w:type="dxa" w:w="1872"/>
          </w:tcPr>
          <w:p>
            <w:pPr>
              <w:bidi w:val="0"/>
              <w:jc w:val="start"/>
            </w:pPr>
            <w:r/>
            <w:r>
              <w:rPr>
                <w:sz w:val="18"/>
              </w:rPr>
              <w:t>Background / context</w:t>
            </w:r>
          </w:p>
        </w:tc>
        <w:tc>
          <w:tcPr>
            <w:tcW w:type="dxa" w:w="1872"/>
          </w:tcPr>
          <w:p>
            <w:pPr>
              <w:bidi w:val="0"/>
              <w:jc w:val="start"/>
            </w:pPr>
            <w:r/>
            <w:r>
              <w:rPr>
                <w:sz w:val="18"/>
              </w:rPr>
              <w:t>Library Hi Tech</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S34</w:t>
            </w:r>
          </w:p>
        </w:tc>
        <w:tc>
          <w:tcPr>
            <w:tcW w:type="dxa" w:w="3744"/>
            <w:shd w:val="clear" w:color="auto" w:fill="FFF5EB"/>
          </w:tcPr>
          <w:p>
            <w:pPr>
              <w:bidi w:val="0"/>
              <w:jc w:val="start"/>
            </w:pPr>
            <w:r/>
            <w:r>
              <w:rPr>
                <w:sz w:val="18"/>
              </w:rPr>
              <w:t>Research on EC is globally distributed but lacks collaboration between authors in developing and developed countries; key themes include entrepreneurship education as an antecedent to entrepreneurial intention, and EC as a driver of firm performance and…</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Cogent Business &amp;amp; Management</w:t>
            </w:r>
          </w:p>
        </w:tc>
        <w:tc>
          <w:tcPr>
            <w:tcW w:type="dxa" w:w="2304"/>
            <w:shd w:val="clear" w:color="auto" w:fill="FFF5EB"/>
          </w:tcPr>
          <w:p>
            <w:pPr>
              <w:bidi w:val="0"/>
              <w:jc w:val="start"/>
            </w:pPr>
            <w:r/>
            <w:r>
              <w:rPr>
                <w:sz w:val="18"/>
              </w:rPr>
              <w:t>A shortage of studies concerning the context of developing countries.</w:t>
            </w:r>
          </w:p>
        </w:tc>
      </w:tr>
      <w:tr>
        <w:trPr>
          <w:cantSplit/>
        </w:trPr>
        <w:tc>
          <w:tcPr>
            <w:tcW w:type="dxa" w:w="720"/>
          </w:tcPr>
          <w:p>
            <w:pPr>
              <w:bidi w:val="0"/>
              <w:jc w:val="start"/>
            </w:pPr>
            <w:r/>
            <w:r>
              <w:rPr>
                <w:sz w:val="18"/>
              </w:rPr>
              <w:t>S35</w:t>
            </w:r>
          </w:p>
        </w:tc>
        <w:tc>
          <w:tcPr>
            <w:tcW w:type="dxa" w:w="3744"/>
          </w:tcPr>
          <w:p>
            <w:pPr>
              <w:bidi w:val="0"/>
              <w:jc w:val="start"/>
            </w:pPr>
            <w:r/>
            <w:r>
              <w:rPr>
                <w:sz w:val="18"/>
              </w:rPr>
              <w:t>AI-generated texts are often grammatically polished but lack the emotional nuance, rhetorical richness, and distinct linguistic markers of human writing, potentially eroding individual authorial voice and linguistic fingerprints.</w:t>
            </w:r>
          </w:p>
        </w:tc>
        <w:tc>
          <w:tcPr>
            <w:tcW w:type="dxa" w:w="1872"/>
          </w:tcPr>
          <w:p>
            <w:pPr>
              <w:bidi w:val="0"/>
              <w:jc w:val="start"/>
            </w:pPr>
            <w:r/>
            <w:r>
              <w:rPr>
                <w:sz w:val="18"/>
              </w:rPr>
              <w:t>Background / context</w:t>
            </w:r>
          </w:p>
        </w:tc>
        <w:tc>
          <w:tcPr>
            <w:tcW w:type="dxa" w:w="1872"/>
          </w:tcPr>
          <w:p>
            <w:pPr>
              <w:bidi w:val="0"/>
              <w:jc w:val="start"/>
            </w:pPr>
            <w:r/>
            <w:r>
              <w:rPr>
                <w:sz w:val="18"/>
              </w:rPr>
              <w:t>Arab World English Journal</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S36</w:t>
            </w:r>
          </w:p>
        </w:tc>
        <w:tc>
          <w:tcPr>
            <w:tcW w:type="dxa" w:w="3744"/>
            <w:shd w:val="clear" w:color="auto" w:fill="FFF5EB"/>
          </w:tcPr>
          <w:p>
            <w:pPr>
              <w:bidi w:val="0"/>
              <w:jc w:val="start"/>
            </w:pPr>
            <w:r/>
            <w:r>
              <w:rPr>
                <w:sz w:val="18"/>
              </w:rPr>
              <w:t>There is an emerging trend where intellectual property rights are increasingly granted to safeguard corporate investments rather than original creativity, challenging the traditional paradigm that IP is the law of creativity.</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Cambridge University Press eBooks</w:t>
            </w:r>
          </w:p>
        </w:tc>
        <w:tc>
          <w:tcPr>
            <w:tcW w:type="dxa" w:w="2304"/>
            <w:shd w:val="clear" w:color="auto" w:fill="FFF5EB"/>
          </w:tcPr>
          <w:p>
            <w:pPr>
              <w:bidi w:val="0"/>
              <w:jc w:val="start"/>
            </w:pPr>
            <w:r/>
            <w:r>
              <w:rPr>
                <w:sz w:val="18"/>
              </w:rPr>
              <w:t>The text focuses on legal and economic frameworks rather than the specific impact of generative AI on individual authorship.</w:t>
            </w:r>
          </w:p>
        </w:tc>
      </w:tr>
      <w:tr>
        <w:trPr>
          <w:cantSplit/>
        </w:trPr>
        <w:tc>
          <w:tcPr>
            <w:tcW w:type="dxa" w:w="720"/>
          </w:tcPr>
          <w:p>
            <w:pPr>
              <w:bidi w:val="0"/>
              <w:jc w:val="start"/>
            </w:pPr>
            <w:r/>
            <w:r>
              <w:rPr>
                <w:sz w:val="18"/>
              </w:rPr>
              <w:t>S37</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Navigating Generative AI in Higher Education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S38</w:t>
            </w:r>
          </w:p>
        </w:tc>
        <w:tc>
          <w:tcPr>
            <w:tcW w:type="dxa" w:w="3744"/>
            <w:shd w:val="clear" w:color="auto" w:fill="FFF5EB"/>
          </w:tcPr>
          <w:p>
            <w:pPr>
              <w:bidi w:val="0"/>
              <w:jc w:val="start"/>
            </w:pPr>
            <w:r/>
            <w:r>
              <w:rPr>
                <w:sz w:val="18"/>
              </w:rPr>
              <w:t>The current authorship framework is ill-equipped for autonomous AI; a transition to a contribution-based model prioritizing transparency and distributed responsibility is recommended over current human-centric standards.</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The Artificial Intelligence Business Review</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S39</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Biblical Exegesis without Authorial Intention?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S40</w:t>
            </w:r>
          </w:p>
        </w:tc>
        <w:tc>
          <w:tcPr>
            <w:tcW w:type="dxa" w:w="3744"/>
            <w:shd w:val="clear" w:color="auto" w:fill="FFF5EB"/>
          </w:tcPr>
          <w:p>
            <w:pPr>
              <w:bidi w:val="0"/>
              <w:jc w:val="start"/>
            </w:pPr>
            <w:r/>
            <w:r>
              <w:rPr>
                <w:sz w:val="18"/>
              </w:rPr>
              <w:t>—</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S41</w:t>
            </w:r>
          </w:p>
        </w:tc>
        <w:tc>
          <w:tcPr>
            <w:tcW w:type="dxa" w:w="3744"/>
          </w:tcPr>
          <w:p>
            <w:pPr>
              <w:bidi w:val="0"/>
              <w:jc w:val="start"/>
            </w:pPr>
            <w:r/>
            <w:r>
              <w:rPr>
                <w:sz w:val="18"/>
              </w:rPr>
              <w:t>Co-authoring increases research output and productivity but requires clear strategies to ensure ethical, fair contributions and to navigate the complexities of multidisciplinary collaboration.</w:t>
            </w:r>
          </w:p>
        </w:tc>
        <w:tc>
          <w:tcPr>
            <w:tcW w:type="dxa" w:w="1872"/>
          </w:tcPr>
          <w:p>
            <w:pPr>
              <w:bidi w:val="0"/>
              <w:jc w:val="start"/>
            </w:pPr>
            <w:r/>
            <w:r>
              <w:rPr>
                <w:sz w:val="18"/>
              </w:rPr>
              <w:t>Background / context</w:t>
            </w:r>
          </w:p>
        </w:tc>
        <w:tc>
          <w:tcPr>
            <w:tcW w:type="dxa" w:w="1872"/>
          </w:tcPr>
          <w:p>
            <w:pPr>
              <w:bidi w:val="0"/>
              <w:jc w:val="start"/>
            </w:pPr>
            <w:r/>
            <w:r>
              <w:rPr>
                <w:sz w:val="18"/>
              </w:rPr>
              <w:t>Arrow - TU Dublin (Technological University Dublin)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S42</w:t>
            </w:r>
          </w:p>
        </w:tc>
        <w:tc>
          <w:tcPr>
            <w:tcW w:type="dxa" w:w="3744"/>
            <w:shd w:val="clear" w:color="auto" w:fill="FFF5EB"/>
          </w:tcPr>
          <w:p>
            <w:pPr>
              <w:bidi w:val="0"/>
              <w:jc w:val="start"/>
            </w:pPr>
            <w:r/>
            <w:r>
              <w:rPr>
                <w:sz w:val="18"/>
              </w:rPr>
              <w:t>The journal emphasizes the necessity of originality and professional discourse in academic writing, maintaining standards through a formal peer-review process.</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Federal University Gusau Faculty of Education Journal</w:t>
            </w:r>
          </w:p>
        </w:tc>
        <w:tc>
          <w:tcPr>
            <w:tcW w:type="dxa" w:w="2304"/>
            <w:shd w:val="clear" w:color="auto" w:fill="FFF5EB"/>
          </w:tcPr>
          <w:p>
            <w:pPr>
              <w:bidi w:val="0"/>
              <w:jc w:val="start"/>
            </w:pPr>
            <w:r/>
            <w:r>
              <w:rPr>
                <w:sz w:val="18"/>
              </w:rPr>
              <w:t>The source does not address generative AI or authorship beyond traditional human scholarship.</w:t>
            </w:r>
          </w:p>
        </w:tc>
      </w:tr>
      <w:tr>
        <w:trPr>
          <w:cantSplit/>
        </w:trPr>
        <w:tc>
          <w:tcPr>
            <w:tcW w:type="dxa" w:w="720"/>
          </w:tcPr>
          <w:p>
            <w:pPr>
              <w:bidi w:val="0"/>
              <w:jc w:val="start"/>
            </w:pPr>
            <w:r/>
            <w:r>
              <w:rPr>
                <w:sz w:val="18"/>
              </w:rPr>
              <w:t>S43</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Biblical Exegesis without Authorial Intention?</w:t>
            </w:r>
          </w:p>
        </w:tc>
        <w:tc>
          <w:tcPr>
            <w:tcW w:type="dxa" w:w="2304"/>
          </w:tcPr>
          <w:p>
            <w:pPr>
              <w:bidi w:val="0"/>
              <w:jc w:val="start"/>
            </w:pPr>
            <w:r/>
            <w:r>
              <w:rPr>
                <w:sz w:val="18"/>
              </w:rPr>
              <w:t>—</w:t>
            </w:r>
          </w:p>
        </w:tc>
      </w:tr>
      <w:tr>
        <w:trPr>
          <w:cantSplit/>
        </w:trPr>
        <w:tc>
          <w:tcPr>
            <w:tcW w:type="dxa" w:w="720"/>
            <w:shd w:val="clear" w:color="auto" w:fill="FFF5EB"/>
          </w:tcPr>
          <w:p>
            <w:pPr>
              <w:bidi w:val="0"/>
              <w:jc w:val="start"/>
            </w:pPr>
            <w:r/>
            <w:r>
              <w:rPr>
                <w:sz w:val="18"/>
              </w:rPr>
              <w:t>S44</w:t>
            </w:r>
          </w:p>
        </w:tc>
        <w:tc>
          <w:tcPr>
            <w:tcW w:type="dxa" w:w="3744"/>
            <w:shd w:val="clear" w:color="auto" w:fill="FFF5EB"/>
          </w:tcPr>
          <w:p>
            <w:pPr>
              <w:bidi w:val="0"/>
              <w:jc w:val="start"/>
            </w:pPr>
            <w:r/>
            <w:r>
              <w:rPr>
                <w:sz w:val="18"/>
              </w:rPr>
              <w:t>—</w:t>
            </w:r>
          </w:p>
        </w:tc>
        <w:tc>
          <w:tcPr>
            <w:tcW w:type="dxa" w:w="1872"/>
            <w:shd w:val="clear" w:color="auto" w:fill="FFF5EB"/>
          </w:tcPr>
          <w:p>
            <w:pPr>
              <w:bidi w:val="0"/>
              <w:jc w:val="start"/>
            </w:pPr>
            <w:r/>
            <w:r>
              <w:rPr>
                <w:sz w:val="18"/>
              </w:rPr>
              <w:t>Background / context</w:t>
            </w:r>
          </w:p>
        </w:tc>
        <w:tc>
          <w:tcPr>
            <w:tcW w:type="dxa" w:w="1872"/>
            <w:shd w:val="clear" w:color="auto" w:fill="FFF5EB"/>
          </w:tcPr>
          <w:p>
            <w:pPr>
              <w:bidi w:val="0"/>
              <w:jc w:val="start"/>
            </w:pPr>
            <w:r/>
            <w:r>
              <w:rPr>
                <w:sz w:val="18"/>
              </w:rPr>
              <w:t>Biblical Exegesis without Authorial Intention?</w:t>
            </w:r>
          </w:p>
        </w:tc>
        <w:tc>
          <w:tcPr>
            <w:tcW w:type="dxa" w:w="2304"/>
            <w:shd w:val="clear" w:color="auto" w:fill="FFF5EB"/>
          </w:tcPr>
          <w:p>
            <w:pPr>
              <w:bidi w:val="0"/>
              <w:jc w:val="start"/>
            </w:pPr>
            <w:r/>
            <w:r>
              <w:rPr>
                <w:sz w:val="18"/>
              </w:rPr>
              <w:t>—</w:t>
            </w:r>
          </w:p>
        </w:tc>
      </w:tr>
      <w:tr>
        <w:trPr>
          <w:cantSplit/>
        </w:trPr>
        <w:tc>
          <w:tcPr>
            <w:tcW w:type="dxa" w:w="720"/>
          </w:tcPr>
          <w:p>
            <w:pPr>
              <w:bidi w:val="0"/>
              <w:jc w:val="start"/>
            </w:pPr>
            <w:r/>
            <w:r>
              <w:rPr>
                <w:sz w:val="18"/>
              </w:rPr>
              <w:t>S45</w:t>
            </w:r>
          </w:p>
        </w:tc>
        <w:tc>
          <w:tcPr>
            <w:tcW w:type="dxa" w:w="3744"/>
          </w:tcPr>
          <w:p>
            <w:pPr>
              <w:bidi w:val="0"/>
              <w:jc w:val="start"/>
            </w:pPr>
            <w:r/>
            <w:r>
              <w:rPr>
                <w:sz w:val="18"/>
              </w:rPr>
              <w:t>—</w:t>
            </w:r>
          </w:p>
        </w:tc>
        <w:tc>
          <w:tcPr>
            <w:tcW w:type="dxa" w:w="1872"/>
          </w:tcPr>
          <w:p>
            <w:pPr>
              <w:bidi w:val="0"/>
              <w:jc w:val="start"/>
            </w:pPr>
            <w:r/>
            <w:r>
              <w:rPr>
                <w:sz w:val="18"/>
              </w:rPr>
              <w:t>Background / context</w:t>
            </w:r>
          </w:p>
        </w:tc>
        <w:tc>
          <w:tcPr>
            <w:tcW w:type="dxa" w:w="1872"/>
          </w:tcPr>
          <w:p>
            <w:pPr>
              <w:bidi w:val="0"/>
              <w:jc w:val="start"/>
            </w:pPr>
            <w:r/>
            <w:r>
              <w:rPr>
                <w:sz w:val="18"/>
              </w:rPr>
              <w:t>Copyright Law in Photographic Works</w:t>
            </w:r>
          </w:p>
        </w:tc>
        <w:tc>
          <w:tcPr>
            <w:tcW w:type="dxa" w:w="2304"/>
          </w:tcPr>
          <w:p>
            <w:pPr>
              <w:bidi w:val="0"/>
              <w:jc w:val="start"/>
            </w:pPr>
            <w:r/>
            <w:r>
              <w:rPr>
                <w:sz w:val="18"/>
              </w:rPr>
              <w:t>—</w:t>
            </w:r>
          </w:p>
        </w:tc>
      </w:tr>
    </w:tbl>
    <w:p>
      <w:pPr>
        <w:jc w:val="left"/>
      </w:pPr>
      <w:r>
        <w:rPr>
          <w:rFonts w:ascii="Times New Roman" w:hAnsi="Times New Roman"/>
          <w:b w:val="0"/>
          <w:color w:val="6B7280"/>
          <w:sz w:val="18"/>
        </w:rPr>
        <w:t>How to use this: read the sources most relevant to your argument, confirm each citation supports the claim beside it, and use this summary to strengthen your literature review.</w:t>
      </w:r>
    </w:p>
    <w:p/>
    <w:p>
      <w:pPr>
        <w:pStyle w:val="Heading1"/>
        <w:pBdr>
          <w:bottom w:val="single" w:sz="18" w:space="4" w:color="E06D00"/>
        </w:pBdr>
      </w:pPr>
      <w:r>
        <w:t>Academic Quality Review</w:t>
      </w:r>
    </w:p>
    <w:p>
      <w:pPr>
        <w:jc w:val="left"/>
      </w:pPr>
      <w:r>
        <w:rPr>
          <w:rFonts w:ascii="Times New Roman" w:hAnsi="Times New Roman"/>
          <w:b w:val="0"/>
          <w:color w:val="6B7280"/>
          <w:sz w:val="20"/>
        </w:rPr>
        <w:t>A higher-level review of the paper as a whole — its evidence, logic, structure and how different readers might respond. Read it as an improvement roadmap, not a verdict.</w:t>
      </w:r>
    </w:p>
    <w:p>
      <w:pPr>
        <w:jc w:val="left"/>
      </w:pPr>
      <w:r>
        <w:rPr>
          <w:rFonts w:ascii="Times New Roman" w:hAnsi="Times New Roman"/>
          <w:b/>
          <w:sz w:val="28"/>
        </w:rPr>
        <w:t>Overall score</w:t>
      </w:r>
    </w:p>
    <w:p>
      <w:pPr>
        <w:jc w:val="center"/>
      </w:pPr>
      <w:r>
        <w:rPr>
          <w:rFonts w:ascii="Times New Roman" w:hAnsi="Times New Roman"/>
          <w:b/>
          <w:sz w:val="48"/>
        </w:rPr>
        <w:t>90/100</w:t>
      </w:r>
    </w:p>
    <w:p>
      <w:pPr>
        <w:jc w:val="center"/>
      </w:pPr>
      <w:r>
        <w:rPr>
          <w:rFonts w:ascii="Times New Roman" w:hAnsi="Times New Roman"/>
          <w:b w:val="0"/>
          <w:color w:val="6B7280"/>
          <w:sz w:val="20"/>
        </w:rPr>
        <w:t>Weighted average across all sections (0–100)</w:t>
      </w:r>
    </w:p>
    <w:p/>
    <w:p>
      <w:pPr>
        <w:jc w:val="left"/>
      </w:pPr>
      <w:r>
        <w:rPr>
          <w:rFonts w:ascii="Times New Roman" w:hAnsi="Times New Roman"/>
          <w:b/>
          <w:sz w:val="28"/>
        </w:rPr>
        <w:t>Issues flagged per dimension</w:t>
      </w:r>
    </w:p>
    <w:p>
      <w:pPr>
        <w:jc w:val="left"/>
      </w:pPr>
      <w:r>
        <w:rPr>
          <w:rFonts w:ascii="Times New Roman" w:hAnsi="Times New Roman"/>
          <w:b w:val="0"/>
          <w:color w:val="6B7280"/>
          <w:sz w:val="20"/>
        </w:rPr>
        <w:t>How many issues the review flagged in each dimension — a count, NOT a 0–100 score, so fewer is better. It shows where the document needed the most attention.</w:t>
      </w:r>
    </w:p>
    <w:tbl>
      <w:tblPr>
        <w:tblStyle w:val="TableGrid"/>
        <w:tblW w:type="auto" w:w="0"/>
        <w:jc w:val="center"/>
        <w:tblLook w:firstColumn="1" w:firstRow="1" w:lastColumn="0" w:lastRow="0" w:noHBand="0" w:noVBand="1" w:val="04A0"/>
      </w:tblPr>
      <w:tblGrid>
        <w:gridCol w:w="4320"/>
        <w:gridCol w:w="4320"/>
      </w:tblGrid>
      <w:tr>
        <w:trPr>
          <w:tblHeader/>
          <w:cantSplit/>
        </w:trPr>
        <w:tc>
          <w:tcPr>
            <w:tcW w:type="dxa" w:w="4320"/>
            <w:shd w:val="clear" w:color="auto" w:fill="FF7A00"/>
          </w:tcPr>
          <w:p>
            <w:r/>
            <w:r>
              <w:rPr>
                <w:rFonts w:ascii="Times New Roman" w:hAnsi="Times New Roman"/>
                <w:b/>
                <w:color w:val="FFFFFF"/>
                <w:sz w:val="20"/>
              </w:rPr>
              <w:t>Dimension</w:t>
            </w:r>
          </w:p>
        </w:tc>
        <w:tc>
          <w:tcPr>
            <w:tcW w:type="dxa" w:w="4320"/>
            <w:shd w:val="clear" w:color="auto" w:fill="FF7A00"/>
          </w:tcPr>
          <w:p>
            <w:r/>
            <w:r>
              <w:rPr>
                <w:rFonts w:ascii="Times New Roman" w:hAnsi="Times New Roman"/>
                <w:b/>
                <w:color w:val="FFFFFF"/>
                <w:sz w:val="20"/>
              </w:rPr>
              <w:t>Issues found</w:t>
            </w:r>
          </w:p>
        </w:tc>
      </w:tr>
      <w:tr>
        <w:trPr>
          <w:cantSplit/>
        </w:trPr>
        <w:tc>
          <w:tcPr>
            <w:tcW w:type="dxa" w:w="4320"/>
          </w:tcPr>
          <w:p>
            <w:r/>
            <w:r>
              <w:rPr>
                <w:rFonts w:ascii="Times New Roman" w:hAnsi="Times New Roman"/>
                <w:b/>
                <w:sz w:val="20"/>
              </w:rPr>
              <w:t>Logic</w:t>
            </w:r>
          </w:p>
          <w:p>
            <w:r>
              <w:rPr>
                <w:rFonts w:ascii="Times New Roman" w:hAnsi="Times New Roman"/>
                <w:color w:val="6B7280"/>
                <w:sz w:val="18"/>
              </w:rPr>
              <w:t>Argument flow and absence of logical jumps.</w:t>
            </w:r>
          </w:p>
        </w:tc>
        <w:tc>
          <w:tcPr>
            <w:tcW w:type="dxa" w:w="4320"/>
          </w:tcPr>
          <w:p>
            <w:r/>
            <w:r>
              <w:rPr>
                <w:rFonts w:ascii="Times New Roman" w:hAnsi="Times New Roman"/>
                <w:b w:val="0"/>
                <w:sz w:val="22"/>
              </w:rPr>
              <w:t>0</w:t>
            </w:r>
          </w:p>
        </w:tc>
      </w:tr>
      <w:tr>
        <w:trPr>
          <w:cantSplit/>
        </w:trPr>
        <w:tc>
          <w:tcPr>
            <w:tcW w:type="dxa" w:w="4320"/>
            <w:shd w:val="clear" w:color="auto" w:fill="FFF5EB"/>
          </w:tcPr>
          <w:p>
            <w:r/>
            <w:r>
              <w:rPr>
                <w:rFonts w:ascii="Times New Roman" w:hAnsi="Times New Roman"/>
                <w:b/>
                <w:sz w:val="20"/>
              </w:rPr>
              <w:t>Evidence</w:t>
            </w:r>
          </w:p>
          <w:p>
            <w:r>
              <w:rPr>
                <w:rFonts w:ascii="Times New Roman" w:hAnsi="Times New Roman"/>
                <w:color w:val="6B7280"/>
                <w:sz w:val="18"/>
              </w:rPr>
              <w:t>Every substantive claim has a verified source or is marked as hypothesis.</w:t>
            </w:r>
          </w:p>
        </w:tc>
        <w:tc>
          <w:tcPr>
            <w:tcW w:type="dxa" w:w="4320"/>
            <w:shd w:val="clear" w:color="auto" w:fill="FFF5EB"/>
          </w:tcPr>
          <w:p>
            <w:r/>
            <w:r>
              <w:rPr>
                <w:rFonts w:ascii="Times New Roman" w:hAnsi="Times New Roman"/>
                <w:b w:val="0"/>
                <w:sz w:val="22"/>
              </w:rPr>
              <w:t>5</w:t>
            </w:r>
          </w:p>
        </w:tc>
      </w:tr>
      <w:tr>
        <w:trPr>
          <w:cantSplit/>
        </w:trPr>
        <w:tc>
          <w:tcPr>
            <w:tcW w:type="dxa" w:w="4320"/>
          </w:tcPr>
          <w:p>
            <w:r/>
            <w:r>
              <w:rPr>
                <w:rFonts w:ascii="Times New Roman" w:hAnsi="Times New Roman"/>
                <w:b/>
                <w:sz w:val="20"/>
              </w:rPr>
              <w:t>Citation integrity</w:t>
            </w:r>
          </w:p>
          <w:p>
            <w:r>
              <w:rPr>
                <w:rFonts w:ascii="Times New Roman" w:hAnsi="Times New Roman"/>
                <w:color w:val="6B7280"/>
                <w:sz w:val="18"/>
              </w:rPr>
              <w:t>Every in-text citation exists in the reference list; no orphans.</w:t>
            </w:r>
          </w:p>
        </w:tc>
        <w:tc>
          <w:tcPr>
            <w:tcW w:type="dxa" w:w="4320"/>
          </w:tcPr>
          <w:p>
            <w:r/>
            <w:r>
              <w:rPr>
                <w:rFonts w:ascii="Times New Roman" w:hAnsi="Times New Roman"/>
                <w:b w:val="0"/>
                <w:sz w:val="22"/>
              </w:rPr>
              <w:t>0</w:t>
            </w:r>
          </w:p>
        </w:tc>
      </w:tr>
      <w:tr>
        <w:trPr>
          <w:cantSplit/>
        </w:trPr>
        <w:tc>
          <w:tcPr>
            <w:tcW w:type="dxa" w:w="4320"/>
            <w:shd w:val="clear" w:color="auto" w:fill="FFF5EB"/>
          </w:tcPr>
          <w:p>
            <w:r/>
            <w:r>
              <w:rPr>
                <w:rFonts w:ascii="Times New Roman" w:hAnsi="Times New Roman"/>
                <w:b/>
                <w:sz w:val="20"/>
              </w:rPr>
              <w:t>Completeness</w:t>
            </w:r>
          </w:p>
          <w:p>
            <w:r>
              <w:rPr>
                <w:rFonts w:ascii="Times New Roman" w:hAnsi="Times New Roman"/>
                <w:color w:val="6B7280"/>
                <w:sz w:val="18"/>
              </w:rPr>
              <w:t>All outline sections present; all form requirements covered.</w:t>
            </w:r>
          </w:p>
        </w:tc>
        <w:tc>
          <w:tcPr>
            <w:tcW w:type="dxa" w:w="4320"/>
            <w:shd w:val="clear" w:color="auto" w:fill="FFF5EB"/>
          </w:tcPr>
          <w:p>
            <w:r/>
            <w:r>
              <w:rPr>
                <w:rFonts w:ascii="Times New Roman" w:hAnsi="Times New Roman"/>
                <w:b w:val="0"/>
                <w:sz w:val="22"/>
              </w:rPr>
              <w:t>2</w:t>
            </w:r>
          </w:p>
        </w:tc>
      </w:tr>
      <w:tr>
        <w:trPr>
          <w:cantSplit/>
        </w:trPr>
        <w:tc>
          <w:tcPr>
            <w:tcW w:type="dxa" w:w="4320"/>
          </w:tcPr>
          <w:p>
            <w:r/>
            <w:r>
              <w:rPr>
                <w:rFonts w:ascii="Times New Roman" w:hAnsi="Times New Roman"/>
                <w:b/>
                <w:sz w:val="20"/>
              </w:rPr>
              <w:t>Academic style</w:t>
            </w:r>
          </w:p>
          <w:p>
            <w:r>
              <w:rPr>
                <w:rFonts w:ascii="Times New Roman" w:hAnsi="Times New Roman"/>
                <w:color w:val="6B7280"/>
                <w:sz w:val="18"/>
              </w:rPr>
              <w:t>Register matches the academic level; no AI-smell phrasing.</w:t>
            </w:r>
          </w:p>
        </w:tc>
        <w:tc>
          <w:tcPr>
            <w:tcW w:type="dxa" w:w="4320"/>
          </w:tcPr>
          <w:p>
            <w:r/>
            <w:r>
              <w:rPr>
                <w:rFonts w:ascii="Times New Roman" w:hAnsi="Times New Roman"/>
                <w:b w:val="0"/>
                <w:sz w:val="22"/>
              </w:rPr>
              <w:t>0</w:t>
            </w:r>
          </w:p>
        </w:tc>
      </w:tr>
      <w:tr>
        <w:trPr>
          <w:cantSplit/>
        </w:trPr>
        <w:tc>
          <w:tcPr>
            <w:tcW w:type="dxa" w:w="4320"/>
            <w:shd w:val="clear" w:color="auto" w:fill="FFF5EB"/>
          </w:tcPr>
          <w:p>
            <w:r/>
            <w:r>
              <w:rPr>
                <w:rFonts w:ascii="Times New Roman" w:hAnsi="Times New Roman"/>
                <w:b/>
                <w:sz w:val="20"/>
              </w:rPr>
              <w:t>Scope guard</w:t>
            </w:r>
          </w:p>
          <w:p>
            <w:r>
              <w:rPr>
                <w:rFonts w:ascii="Times New Roman" w:hAnsi="Times New Roman"/>
                <w:color w:val="6B7280"/>
                <w:sz w:val="18"/>
              </w:rPr>
              <w:t>Complexity matches the academic-level ceiling (BA / MA / PhD).</w:t>
            </w:r>
          </w:p>
        </w:tc>
        <w:tc>
          <w:tcPr>
            <w:tcW w:type="dxa" w:w="4320"/>
            <w:shd w:val="clear" w:color="auto" w:fill="FFF5EB"/>
          </w:tcPr>
          <w:p>
            <w:r/>
            <w:r>
              <w:rPr>
                <w:rFonts w:ascii="Times New Roman" w:hAnsi="Times New Roman"/>
                <w:b w:val="0"/>
                <w:sz w:val="22"/>
              </w:rPr>
              <w:t>5</w:t>
            </w:r>
          </w:p>
        </w:tc>
      </w:tr>
      <w:tr>
        <w:trPr>
          <w:cantSplit/>
        </w:trPr>
        <w:tc>
          <w:tcPr>
            <w:tcW w:type="dxa" w:w="4320"/>
          </w:tcPr>
          <w:p>
            <w:r/>
            <w:r>
              <w:rPr>
                <w:rFonts w:ascii="Times New Roman" w:hAnsi="Times New Roman"/>
                <w:b/>
                <w:sz w:val="20"/>
              </w:rPr>
              <w:t>Diagram accuracy</w:t>
            </w:r>
          </w:p>
          <w:p>
            <w:r>
              <w:rPr>
                <w:rFonts w:ascii="Times New Roman" w:hAnsi="Times New Roman"/>
                <w:color w:val="6B7280"/>
                <w:sz w:val="18"/>
              </w:rPr>
              <w:t>Diagrams (if any) match the reference list.</w:t>
            </w:r>
          </w:p>
        </w:tc>
        <w:tc>
          <w:tcPr>
            <w:tcW w:type="dxa" w:w="4320"/>
          </w:tcPr>
          <w:p>
            <w:r/>
            <w:r>
              <w:rPr>
                <w:rFonts w:ascii="Times New Roman" w:hAnsi="Times New Roman"/>
                <w:b w:val="0"/>
                <w:sz w:val="22"/>
              </w:rPr>
              <w:t>0</w:t>
            </w:r>
          </w:p>
        </w:tc>
      </w:tr>
      <w:tr>
        <w:trPr>
          <w:cantSplit/>
        </w:trPr>
        <w:tc>
          <w:tcPr>
            <w:tcW w:type="dxa" w:w="4320"/>
            <w:shd w:val="clear" w:color="auto" w:fill="FFF5EB"/>
          </w:tcPr>
          <w:p>
            <w:r/>
            <w:r>
              <w:rPr>
                <w:rFonts w:ascii="Times New Roman" w:hAnsi="Times New Roman"/>
                <w:b/>
                <w:sz w:val="20"/>
              </w:rPr>
              <w:t>Spec compliance</w:t>
            </w:r>
          </w:p>
          <w:p>
            <w:r>
              <w:rPr>
                <w:rFonts w:ascii="Times New Roman" w:hAnsi="Times New Roman"/>
                <w:color w:val="6B7280"/>
                <w:sz w:val="18"/>
              </w:rPr>
              <w:t>The document addresses what your spec actually asked for.</w:t>
            </w:r>
          </w:p>
        </w:tc>
        <w:tc>
          <w:tcPr>
            <w:tcW w:type="dxa" w:w="4320"/>
            <w:shd w:val="clear" w:color="auto" w:fill="FFF5EB"/>
          </w:tcPr>
          <w:p>
            <w:r/>
            <w:r>
              <w:rPr>
                <w:rFonts w:ascii="Times New Roman" w:hAnsi="Times New Roman"/>
                <w:b w:val="0"/>
                <w:sz w:val="22"/>
              </w:rPr>
              <w:t>0</w:t>
            </w:r>
          </w:p>
        </w:tc>
      </w:tr>
      <w:tr>
        <w:trPr>
          <w:cantSplit/>
        </w:trPr>
        <w:tc>
          <w:tcPr>
            <w:tcW w:type="dxa" w:w="4320"/>
          </w:tcPr>
          <w:p>
            <w:r/>
            <w:r>
              <w:rPr>
                <w:rFonts w:ascii="Times New Roman" w:hAnsi="Times New Roman"/>
                <w:b/>
                <w:sz w:val="20"/>
              </w:rPr>
              <w:t>Constraint compliance</w:t>
            </w:r>
          </w:p>
          <w:p>
            <w:r>
              <w:rPr>
                <w:rFonts w:ascii="Times New Roman" w:hAnsi="Times New Roman"/>
                <w:color w:val="6B7280"/>
                <w:sz w:val="18"/>
              </w:rPr>
              <w:t>Every constraint you listed is honoured.</w:t>
            </w:r>
          </w:p>
        </w:tc>
        <w:tc>
          <w:tcPr>
            <w:tcW w:type="dxa" w:w="4320"/>
          </w:tcPr>
          <w:p>
            <w:r/>
            <w:r>
              <w:rPr>
                <w:rFonts w:ascii="Times New Roman" w:hAnsi="Times New Roman"/>
                <w:b w:val="0"/>
                <w:sz w:val="22"/>
              </w:rPr>
              <w:t>0</w:t>
            </w:r>
          </w:p>
        </w:tc>
      </w:tr>
      <w:tr>
        <w:trPr>
          <w:cantSplit/>
        </w:trPr>
        <w:tc>
          <w:tcPr>
            <w:tcW w:type="dxa" w:w="4320"/>
            <w:shd w:val="clear" w:color="auto" w:fill="FFF5EB"/>
          </w:tcPr>
          <w:p>
            <w:r/>
            <w:r>
              <w:rPr>
                <w:rFonts w:ascii="Times New Roman" w:hAnsi="Times New Roman"/>
                <w:b/>
                <w:sz w:val="20"/>
              </w:rPr>
              <w:t>Argument fidelity</w:t>
            </w:r>
          </w:p>
          <w:p>
            <w:r>
              <w:rPr>
                <w:rFonts w:ascii="Times New Roman" w:hAnsi="Times New Roman"/>
                <w:color w:val="6B7280"/>
                <w:sz w:val="18"/>
              </w:rPr>
              <w:t>Claims align with the stated argument.</w:t>
            </w:r>
          </w:p>
        </w:tc>
        <w:tc>
          <w:tcPr>
            <w:tcW w:type="dxa" w:w="4320"/>
            <w:shd w:val="clear" w:color="auto" w:fill="FFF5EB"/>
          </w:tcPr>
          <w:p>
            <w:r/>
            <w:r>
              <w:rPr>
                <w:rFonts w:ascii="Times New Roman" w:hAnsi="Times New Roman"/>
                <w:b w:val="0"/>
                <w:sz w:val="22"/>
              </w:rPr>
              <w:t>1</w:t>
            </w:r>
          </w:p>
        </w:tc>
      </w:tr>
      <w:tr>
        <w:trPr>
          <w:cantSplit/>
        </w:trPr>
        <w:tc>
          <w:tcPr>
            <w:tcW w:type="dxa" w:w="4320"/>
          </w:tcPr>
          <w:p>
            <w:r/>
            <w:r>
              <w:rPr>
                <w:rFonts w:ascii="Times New Roman" w:hAnsi="Times New Roman"/>
                <w:b/>
                <w:sz w:val="20"/>
              </w:rPr>
              <w:t>Language quality</w:t>
            </w:r>
          </w:p>
          <w:p>
            <w:r>
              <w:rPr>
                <w:rFonts w:ascii="Times New Roman" w:hAnsi="Times New Roman"/>
                <w:color w:val="6B7280"/>
                <w:sz w:val="18"/>
              </w:rPr>
              <w:t>Native fluency in the chosen language; no translation artefacts; no generic AI register.</w:t>
            </w:r>
          </w:p>
        </w:tc>
        <w:tc>
          <w:tcPr>
            <w:tcW w:type="dxa" w:w="4320"/>
          </w:tcPr>
          <w:p>
            <w:r/>
            <w:r>
              <w:rPr>
                <w:rFonts w:ascii="Times New Roman" w:hAnsi="Times New Roman"/>
                <w:b w:val="0"/>
                <w:sz w:val="22"/>
              </w:rPr>
              <w:t>0</w:t>
            </w:r>
          </w:p>
        </w:tc>
      </w:tr>
    </w:tbl>
    <w:p/>
    <w:p>
      <w:pPr>
        <w:jc w:val="left"/>
      </w:pPr>
      <w:r>
        <w:rPr>
          <w:rFonts w:ascii="Times New Roman" w:hAnsi="Times New Roman"/>
          <w:b/>
          <w:sz w:val="28"/>
        </w:rPr>
        <w:t>Per-section breakdown</w:t>
      </w:r>
    </w:p>
    <w:p>
      <w:pPr>
        <w:jc w:val="left"/>
      </w:pPr>
      <w:r>
        <w:rPr>
          <w:rFonts w:ascii="Times New Roman" w:hAnsi="Times New Roman"/>
          <w:b w:val="0"/>
          <w:color w:val="6B7280"/>
          <w:sz w:val="20"/>
        </w:rPr>
        <w:t>Score and outstanding issues for each section. "Issues found" are findings the automated review flagged.</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cantSplit/>
        </w:trPr>
        <w:tc>
          <w:tcPr>
            <w:tcW w:type="dxa" w:w="1728"/>
            <w:shd w:val="clear" w:color="auto" w:fill="FF7A00"/>
          </w:tcPr>
          <w:p>
            <w:r/>
            <w:r>
              <w:rPr>
                <w:rFonts w:ascii="Times New Roman" w:hAnsi="Times New Roman"/>
                <w:b/>
                <w:color w:val="FFFFFF"/>
                <w:sz w:val="20"/>
              </w:rPr>
              <w:t>Section</w:t>
            </w:r>
          </w:p>
        </w:tc>
        <w:tc>
          <w:tcPr>
            <w:tcW w:type="dxa" w:w="1008"/>
            <w:shd w:val="clear" w:color="auto" w:fill="FF7A00"/>
          </w:tcPr>
          <w:p>
            <w:r/>
            <w:r>
              <w:rPr>
                <w:rFonts w:ascii="Times New Roman" w:hAnsi="Times New Roman"/>
                <w:b/>
                <w:color w:val="FFFFFF"/>
                <w:sz w:val="20"/>
              </w:rPr>
              <w:t>Score</w:t>
            </w:r>
          </w:p>
        </w:tc>
        <w:tc>
          <w:tcPr>
            <w:tcW w:type="dxa" w:w="1584"/>
            <w:shd w:val="clear" w:color="auto" w:fill="FF7A00"/>
          </w:tcPr>
          <w:p>
            <w:r/>
            <w:r>
              <w:rPr>
                <w:rFonts w:ascii="Times New Roman" w:hAnsi="Times New Roman"/>
                <w:b/>
                <w:color w:val="FFFFFF"/>
                <w:sz w:val="20"/>
              </w:rPr>
              <w:t>Location</w:t>
            </w:r>
          </w:p>
        </w:tc>
        <w:tc>
          <w:tcPr>
            <w:tcW w:type="dxa" w:w="1728"/>
            <w:shd w:val="clear" w:color="auto" w:fill="FF7A00"/>
          </w:tcPr>
          <w:p>
            <w:r/>
            <w:r>
              <w:rPr>
                <w:rFonts w:ascii="Times New Roman" w:hAnsi="Times New Roman"/>
                <w:b/>
                <w:color w:val="FFFFFF"/>
                <w:sz w:val="20"/>
              </w:rPr>
              <w:t>Dimension</w:t>
            </w:r>
          </w:p>
        </w:tc>
        <w:tc>
          <w:tcPr>
            <w:tcW w:type="dxa" w:w="3744"/>
            <w:shd w:val="clear" w:color="auto" w:fill="FF7A00"/>
          </w:tcPr>
          <w:p>
            <w:r/>
            <w:r>
              <w:rPr>
                <w:rFonts w:ascii="Times New Roman" w:hAnsi="Times New Roman"/>
                <w:b/>
                <w:color w:val="FFFFFF"/>
                <w:sz w:val="20"/>
              </w:rPr>
              <w:t>Suggested fix</w:t>
            </w:r>
          </w:p>
        </w:tc>
      </w:tr>
      <w:tr>
        <w:trPr>
          <w:cantSplit/>
        </w:trPr>
        <w:tc>
          <w:tcPr>
            <w:tcW w:type="dxa" w:w="1728"/>
          </w:tcPr>
          <w:p>
            <w:r/>
            <w:r>
              <w:rPr>
                <w:rFonts w:ascii="Times New Roman" w:hAnsi="Times New Roman"/>
                <w:b w:val="0"/>
                <w:sz w:val="20"/>
              </w:rPr>
              <w:t>abstract</w:t>
            </w:r>
          </w:p>
        </w:tc>
        <w:tc>
          <w:tcPr>
            <w:tcW w:type="dxa" w:w="1008"/>
          </w:tcPr>
          <w:p>
            <w:r/>
            <w:r>
              <w:rPr>
                <w:rFonts w:ascii="Times New Roman" w:hAnsi="Times New Roman"/>
                <w:b w:val="0"/>
                <w:sz w:val="20"/>
              </w:rPr>
              <w:t>92/100</w:t>
            </w:r>
          </w:p>
        </w:tc>
        <w:tc>
          <w:tcPr>
            <w:tcW w:type="dxa" w:w="1584"/>
          </w:tcPr>
          <w:p>
            <w:r/>
            <w:r>
              <w:rPr>
                <w:rFonts w:ascii="Times New Roman" w:hAnsi="Times New Roman"/>
                <w:b w:val="0"/>
                <w:sz w:val="20"/>
              </w:rPr>
              <w:t>Abstract, “Central Contributions”</w:t>
            </w:r>
          </w:p>
        </w:tc>
        <w:tc>
          <w:tcPr>
            <w:tcW w:type="dxa" w:w="1728"/>
          </w:tcPr>
          <w:p>
            <w:r/>
            <w:r>
              <w:rPr>
                <w:rFonts w:ascii="Times New Roman" w:hAnsi="Times New Roman"/>
                <w:b w:val="0"/>
                <w:sz w:val="20"/>
              </w:rPr>
              <w:t>Scope guard</w:t>
            </w:r>
          </w:p>
        </w:tc>
        <w:tc>
          <w:tcPr>
            <w:tcW w:type="dxa" w:w="3744"/>
          </w:tcPr>
          <w:p>
            <w:r/>
            <w:r>
              <w:rPr>
                <w:rFonts w:ascii="Times New Roman" w:hAnsi="Times New Roman"/>
                <w:b w:val="0"/>
                <w:sz w:val="20"/>
              </w:rPr>
              <w:t>For BA level, simplify the theoretical vocabulary or add one plain-language sentence explaining “epistemic delegation” and “assemblage-based accounts”.</w:t>
            </w:r>
          </w:p>
        </w:tc>
      </w:tr>
      <w:tr>
        <w:trPr>
          <w:cantSplit/>
        </w:trPr>
        <w:tc>
          <w:tcPr>
            <w:tcW w:type="dxa" w:w="1728"/>
            <w:shd w:val="clear" w:color="auto" w:fill="FFF5EB"/>
          </w:tcPr>
          <w:p>
            <w:r/>
            <w:r>
              <w:rPr>
                <w:rFonts w:ascii="Times New Roman" w:hAnsi="Times New Roman"/>
                <w:b w:val="0"/>
                <w:sz w:val="20"/>
              </w:rPr>
            </w:r>
          </w:p>
        </w:tc>
        <w:tc>
          <w:tcPr>
            <w:tcW w:type="dxa" w:w="1008"/>
            <w:shd w:val="clear" w:color="auto" w:fill="FFF5EB"/>
          </w:tcPr>
          <w:p>
            <w:r/>
            <w:r>
              <w:rPr>
                <w:rFonts w:ascii="Times New Roman" w:hAnsi="Times New Roman"/>
                <w:b w:val="0"/>
                <w:sz w:val="20"/>
              </w:rPr>
            </w:r>
          </w:p>
        </w:tc>
        <w:tc>
          <w:tcPr>
            <w:tcW w:type="dxa" w:w="1584"/>
            <w:shd w:val="clear" w:color="auto" w:fill="FFF5EB"/>
          </w:tcPr>
          <w:p>
            <w:r/>
            <w:r>
              <w:rPr>
                <w:rFonts w:ascii="Times New Roman" w:hAnsi="Times New Roman"/>
                <w:b w:val="0"/>
                <w:sz w:val="20"/>
              </w:rPr>
              <w:t>Abstract, “Topic and Argument”</w:t>
            </w:r>
          </w:p>
        </w:tc>
        <w:tc>
          <w:tcPr>
            <w:tcW w:type="dxa" w:w="1728"/>
            <w:shd w:val="clear" w:color="auto" w:fill="FFF5EB"/>
          </w:tcPr>
          <w:p>
            <w:r/>
            <w:r>
              <w:rPr>
                <w:rFonts w:ascii="Times New Roman" w:hAnsi="Times New Roman"/>
                <w:b w:val="0"/>
                <w:sz w:val="20"/>
              </w:rPr>
              <w:t>Evidence</w:t>
            </w:r>
          </w:p>
        </w:tc>
        <w:tc>
          <w:tcPr>
            <w:tcW w:type="dxa" w:w="3744"/>
            <w:shd w:val="clear" w:color="auto" w:fill="FFF5EB"/>
          </w:tcPr>
          <w:p>
            <w:r/>
            <w:r>
              <w:rPr>
                <w:rFonts w:ascii="Times New Roman" w:hAnsi="Times New Roman"/>
                <w:b w:val="0"/>
                <w:sz w:val="20"/>
              </w:rPr>
              <w:t>Ensure the strong synthetic claims made in the abstract are explicitly substantiated in the body, since the abstract itself appropriately avoids citations.</w:t>
            </w:r>
          </w:p>
        </w:tc>
      </w:tr>
      <w:tr>
        <w:trPr>
          <w:cantSplit/>
        </w:trPr>
        <w:tc>
          <w:tcPr>
            <w:tcW w:type="dxa" w:w="1728"/>
          </w:tcPr>
          <w:p>
            <w:r/>
            <w:r>
              <w:rPr>
                <w:rFonts w:ascii="Times New Roman" w:hAnsi="Times New Roman"/>
                <w:b w:val="0"/>
                <w:sz w:val="20"/>
              </w:rPr>
              <w:t>introduction</w:t>
            </w:r>
          </w:p>
        </w:tc>
        <w:tc>
          <w:tcPr>
            <w:tcW w:type="dxa" w:w="1008"/>
          </w:tcPr>
          <w:p>
            <w:r/>
            <w:r>
              <w:rPr>
                <w:rFonts w:ascii="Times New Roman" w:hAnsi="Times New Roman"/>
                <w:b w:val="0"/>
                <w:sz w:val="20"/>
              </w:rPr>
              <w:t>91/100</w:t>
            </w:r>
          </w:p>
        </w:tc>
        <w:tc>
          <w:tcPr>
            <w:tcW w:type="dxa" w:w="1584"/>
          </w:tcPr>
          <w:p>
            <w:r/>
            <w:r>
              <w:rPr>
                <w:rFonts w:ascii="Times New Roman" w:hAnsi="Times New Roman"/>
                <w:b w:val="0"/>
                <w:sz w:val="20"/>
              </w:rPr>
              <w:t>Introduction, paragraph 2</w:t>
            </w:r>
          </w:p>
        </w:tc>
        <w:tc>
          <w:tcPr>
            <w:tcW w:type="dxa" w:w="1728"/>
          </w:tcPr>
          <w:p>
            <w:r/>
            <w:r>
              <w:rPr>
                <w:rFonts w:ascii="Times New Roman" w:hAnsi="Times New Roman"/>
                <w:b w:val="0"/>
                <w:sz w:val="20"/>
              </w:rPr>
              <w:t>Evidence</w:t>
            </w:r>
          </w:p>
        </w:tc>
        <w:tc>
          <w:tcPr>
            <w:tcW w:type="dxa" w:w="3744"/>
          </w:tcPr>
          <w:p>
            <w:r/>
            <w:r>
              <w:rPr>
                <w:rFonts w:ascii="Times New Roman" w:hAnsi="Times New Roman"/>
                <w:b w:val="0"/>
                <w:sz w:val="20"/>
              </w:rPr>
              <w:t>Add citation markers for the claims about copyright doctrine, intentionalist philosophy, and posthumanist assemblage theory.</w:t>
            </w:r>
          </w:p>
        </w:tc>
      </w:tr>
      <w:tr>
        <w:trPr>
          <w:cantSplit/>
        </w:trPr>
        <w:tc>
          <w:tcPr>
            <w:tcW w:type="dxa" w:w="1728"/>
            <w:shd w:val="clear" w:color="auto" w:fill="FFF5EB"/>
          </w:tcPr>
          <w:p>
            <w:r/>
            <w:r>
              <w:rPr>
                <w:rFonts w:ascii="Times New Roman" w:hAnsi="Times New Roman"/>
                <w:b w:val="0"/>
                <w:sz w:val="20"/>
              </w:rPr>
            </w:r>
          </w:p>
        </w:tc>
        <w:tc>
          <w:tcPr>
            <w:tcW w:type="dxa" w:w="1008"/>
            <w:shd w:val="clear" w:color="auto" w:fill="FFF5EB"/>
          </w:tcPr>
          <w:p>
            <w:r/>
            <w:r>
              <w:rPr>
                <w:rFonts w:ascii="Times New Roman" w:hAnsi="Times New Roman"/>
                <w:b w:val="0"/>
                <w:sz w:val="20"/>
              </w:rPr>
            </w:r>
          </w:p>
        </w:tc>
        <w:tc>
          <w:tcPr>
            <w:tcW w:type="dxa" w:w="1584"/>
            <w:shd w:val="clear" w:color="auto" w:fill="FFF5EB"/>
          </w:tcPr>
          <w:p>
            <w:r/>
            <w:r>
              <w:rPr>
                <w:rFonts w:ascii="Times New Roman" w:hAnsi="Times New Roman"/>
                <w:b w:val="0"/>
                <w:sz w:val="20"/>
              </w:rPr>
              <w:t>Introduction, paragraph 3</w:t>
            </w:r>
          </w:p>
        </w:tc>
        <w:tc>
          <w:tcPr>
            <w:tcW w:type="dxa" w:w="1728"/>
            <w:shd w:val="clear" w:color="auto" w:fill="FFF5EB"/>
          </w:tcPr>
          <w:p>
            <w:r/>
            <w:r>
              <w:rPr>
                <w:rFonts w:ascii="Times New Roman" w:hAnsi="Times New Roman"/>
                <w:b w:val="0"/>
                <w:sz w:val="20"/>
              </w:rPr>
              <w:t>Scope guard</w:t>
            </w:r>
          </w:p>
        </w:tc>
        <w:tc>
          <w:tcPr>
            <w:tcW w:type="dxa" w:w="3744"/>
            <w:shd w:val="clear" w:color="auto" w:fill="FFF5EB"/>
          </w:tcPr>
          <w:p>
            <w:r/>
            <w:r>
              <w:rPr>
                <w:rFonts w:ascii="Times New Roman" w:hAnsi="Times New Roman"/>
                <w:b w:val="0"/>
                <w:sz w:val="20"/>
              </w:rPr>
              <w:t>The five-claim thesis is conceptually dense for BA level; add clearer signposting and define key terms before using them analytically.</w:t>
            </w:r>
          </w:p>
        </w:tc>
      </w:tr>
      <w:tr>
        <w:trPr>
          <w:cantSplit/>
        </w:trPr>
        <w:tc>
          <w:tcPr>
            <w:tcW w:type="dxa" w:w="1728"/>
          </w:tcPr>
          <w:p>
            <w:r/>
            <w:r>
              <w:rPr>
                <w:rFonts w:ascii="Times New Roman" w:hAnsi="Times New Roman"/>
                <w:b w:val="0"/>
                <w:sz w:val="20"/>
              </w:rPr>
              <w:t>literature_review</w:t>
            </w:r>
          </w:p>
        </w:tc>
        <w:tc>
          <w:tcPr>
            <w:tcW w:type="dxa" w:w="1008"/>
          </w:tcPr>
          <w:p>
            <w:r/>
            <w:r>
              <w:rPr>
                <w:rFonts w:ascii="Times New Roman" w:hAnsi="Times New Roman"/>
                <w:b w:val="0"/>
                <w:sz w:val="20"/>
              </w:rPr>
              <w:t>84/100</w:t>
            </w:r>
          </w:p>
        </w:tc>
        <w:tc>
          <w:tcPr>
            <w:tcW w:type="dxa" w:w="1584"/>
          </w:tcPr>
          <w:p>
            <w:r/>
            <w:r>
              <w:rPr>
                <w:rFonts w:ascii="Times New Roman" w:hAnsi="Times New Roman"/>
                <w:b w:val="0"/>
                <w:sz w:val="20"/>
              </w:rPr>
              <w:t>Authorship as Spectrum, paragraph 3</w:t>
            </w:r>
          </w:p>
        </w:tc>
        <w:tc>
          <w:tcPr>
            <w:tcW w:type="dxa" w:w="1728"/>
          </w:tcPr>
          <w:p>
            <w:r/>
            <w:r>
              <w:rPr>
                <w:rFonts w:ascii="Times New Roman" w:hAnsi="Times New Roman"/>
                <w:b w:val="0"/>
                <w:sz w:val="20"/>
              </w:rPr>
              <w:t>Evidence</w:t>
            </w:r>
          </w:p>
        </w:tc>
        <w:tc>
          <w:tcPr>
            <w:tcW w:type="dxa" w:w="3744"/>
          </w:tcPr>
          <w:p>
            <w:r/>
            <w:r>
              <w:rPr>
                <w:rFonts w:ascii="Times New Roman" w:hAnsi="Times New Roman"/>
                <w:b w:val="0"/>
                <w:sz w:val="20"/>
              </w:rPr>
              <w:t>Add verified citations for the posthumanist claim that agency is an emergent property of assemblages.</w:t>
            </w:r>
          </w:p>
        </w:tc>
      </w:tr>
      <w:tr>
        <w:trPr>
          <w:cantSplit/>
        </w:trPr>
        <w:tc>
          <w:tcPr>
            <w:tcW w:type="dxa" w:w="1728"/>
            <w:shd w:val="clear" w:color="auto" w:fill="FFF5EB"/>
          </w:tcPr>
          <w:p>
            <w:r/>
            <w:r>
              <w:rPr>
                <w:rFonts w:ascii="Times New Roman" w:hAnsi="Times New Roman"/>
                <w:b w:val="0"/>
                <w:sz w:val="20"/>
              </w:rPr>
            </w:r>
          </w:p>
        </w:tc>
        <w:tc>
          <w:tcPr>
            <w:tcW w:type="dxa" w:w="1008"/>
            <w:shd w:val="clear" w:color="auto" w:fill="FFF5EB"/>
          </w:tcPr>
          <w:p>
            <w:r/>
            <w:r>
              <w:rPr>
                <w:rFonts w:ascii="Times New Roman" w:hAnsi="Times New Roman"/>
                <w:b w:val="0"/>
                <w:sz w:val="20"/>
              </w:rPr>
            </w:r>
          </w:p>
        </w:tc>
        <w:tc>
          <w:tcPr>
            <w:tcW w:type="dxa" w:w="1584"/>
            <w:shd w:val="clear" w:color="auto" w:fill="FFF5EB"/>
          </w:tcPr>
          <w:p>
            <w:r/>
            <w:r>
              <w:rPr>
                <w:rFonts w:ascii="Times New Roman" w:hAnsi="Times New Roman"/>
                <w:b w:val="0"/>
                <w:sz w:val="20"/>
              </w:rPr>
              <w:t>Literature Review overall</w:t>
            </w:r>
          </w:p>
        </w:tc>
        <w:tc>
          <w:tcPr>
            <w:tcW w:type="dxa" w:w="1728"/>
            <w:shd w:val="clear" w:color="auto" w:fill="FFF5EB"/>
          </w:tcPr>
          <w:p>
            <w:r/>
            <w:r>
              <w:rPr>
                <w:rFonts w:ascii="Times New Roman" w:hAnsi="Times New Roman"/>
                <w:b w:val="0"/>
                <w:sz w:val="20"/>
              </w:rPr>
              <w:t>Scope guard</w:t>
            </w:r>
          </w:p>
        </w:tc>
        <w:tc>
          <w:tcPr>
            <w:tcW w:type="dxa" w:w="3744"/>
            <w:shd w:val="clear" w:color="auto" w:fill="FFF5EB"/>
          </w:tcPr>
          <w:p>
            <w:r/>
            <w:r>
              <w:rPr>
                <w:rFonts w:ascii="Times New Roman" w:hAnsi="Times New Roman"/>
                <w:b w:val="0"/>
                <w:sz w:val="20"/>
              </w:rPr>
              <w:t>For BA level, reduce abstraction by adding short explanatory bridges between author-function theory, copyright law, and academic integrity practice.</w:t>
            </w:r>
          </w:p>
        </w:tc>
      </w:tr>
      <w:tr>
        <w:trPr>
          <w:cantSplit/>
        </w:trPr>
        <w:tc>
          <w:tcPr>
            <w:tcW w:type="dxa" w:w="1728"/>
          </w:tcPr>
          <w:p>
            <w:r/>
            <w:r>
              <w:rPr>
                <w:rFonts w:ascii="Times New Roman" w:hAnsi="Times New Roman"/>
                <w:b w:val="0"/>
                <w:sz w:val="20"/>
              </w:rPr>
              <w:t>discussion</w:t>
            </w:r>
          </w:p>
        </w:tc>
        <w:tc>
          <w:tcPr>
            <w:tcW w:type="dxa" w:w="1008"/>
          </w:tcPr>
          <w:p>
            <w:r/>
            <w:r>
              <w:rPr>
                <w:rFonts w:ascii="Times New Roman" w:hAnsi="Times New Roman"/>
                <w:b w:val="0"/>
                <w:sz w:val="20"/>
              </w:rPr>
              <w:t>88/100</w:t>
            </w:r>
          </w:p>
        </w:tc>
        <w:tc>
          <w:tcPr>
            <w:tcW w:type="dxa" w:w="1584"/>
          </w:tcPr>
          <w:p>
            <w:r/>
            <w:r>
              <w:rPr>
                <w:rFonts w:ascii="Times New Roman" w:hAnsi="Times New Roman"/>
                <w:b w:val="0"/>
                <w:sz w:val="20"/>
              </w:rPr>
              <w:t>Position within the Field, paragraph 1</w:t>
            </w:r>
          </w:p>
        </w:tc>
        <w:tc>
          <w:tcPr>
            <w:tcW w:type="dxa" w:w="1728"/>
          </w:tcPr>
          <w:p>
            <w:r/>
            <w:r>
              <w:rPr>
                <w:rFonts w:ascii="Times New Roman" w:hAnsi="Times New Roman"/>
                <w:b w:val="0"/>
                <w:sz w:val="20"/>
              </w:rPr>
              <w:t>Evidence</w:t>
            </w:r>
          </w:p>
        </w:tc>
        <w:tc>
          <w:tcPr>
            <w:tcW w:type="dxa" w:w="3744"/>
          </w:tcPr>
          <w:p>
            <w:r/>
            <w:r>
              <w:rPr>
                <w:rFonts w:ascii="Times New Roman" w:hAnsi="Times New Roman"/>
                <w:b w:val="0"/>
                <w:sz w:val="20"/>
              </w:rPr>
              <w:t>Add citation markers after “Rodrigues (2025) and Israel and Amer” and after the claims attributed to Adema and Zeilinger.</w:t>
            </w:r>
          </w:p>
        </w:tc>
      </w:tr>
      <w:tr>
        <w:trPr>
          <w:cantSplit/>
        </w:trPr>
        <w:tc>
          <w:tcPr>
            <w:tcW w:type="dxa" w:w="1728"/>
            <w:shd w:val="clear" w:color="auto" w:fill="FFF5EB"/>
          </w:tcPr>
          <w:p>
            <w:r/>
            <w:r>
              <w:rPr>
                <w:rFonts w:ascii="Times New Roman" w:hAnsi="Times New Roman"/>
                <w:b w:val="0"/>
                <w:sz w:val="20"/>
              </w:rPr>
            </w:r>
          </w:p>
        </w:tc>
        <w:tc>
          <w:tcPr>
            <w:tcW w:type="dxa" w:w="1008"/>
            <w:shd w:val="clear" w:color="auto" w:fill="FFF5EB"/>
          </w:tcPr>
          <w:p>
            <w:r/>
            <w:r>
              <w:rPr>
                <w:rFonts w:ascii="Times New Roman" w:hAnsi="Times New Roman"/>
                <w:b w:val="0"/>
                <w:sz w:val="20"/>
              </w:rPr>
            </w:r>
          </w:p>
        </w:tc>
        <w:tc>
          <w:tcPr>
            <w:tcW w:type="dxa" w:w="1584"/>
            <w:shd w:val="clear" w:color="auto" w:fill="FFF5EB"/>
          </w:tcPr>
          <w:p>
            <w:r/>
            <w:r>
              <w:rPr>
                <w:rFonts w:ascii="Times New Roman" w:hAnsi="Times New Roman"/>
                <w:b w:val="0"/>
                <w:sz w:val="20"/>
              </w:rPr>
              <w:t>Discussion overall</w:t>
            </w:r>
          </w:p>
        </w:tc>
        <w:tc>
          <w:tcPr>
            <w:tcW w:type="dxa" w:w="1728"/>
            <w:shd w:val="clear" w:color="auto" w:fill="FFF5EB"/>
          </w:tcPr>
          <w:p>
            <w:r/>
            <w:r>
              <w:rPr>
                <w:rFonts w:ascii="Times New Roman" w:hAnsi="Times New Roman"/>
                <w:b w:val="0"/>
                <w:sz w:val="20"/>
              </w:rPr>
              <w:t>Scope guard</w:t>
            </w:r>
          </w:p>
        </w:tc>
        <w:tc>
          <w:tcPr>
            <w:tcW w:type="dxa" w:w="3744"/>
            <w:shd w:val="clear" w:color="auto" w:fill="FFF5EB"/>
          </w:tcPr>
          <w:p>
            <w:r/>
            <w:r>
              <w:rPr>
                <w:rFonts w:ascii="Times New Roman" w:hAnsi="Times New Roman"/>
                <w:b w:val="0"/>
                <w:sz w:val="20"/>
              </w:rPr>
              <w:t>The section reads closer to MA-level theoretical synthesis; add more descriptive explanation if the submission must remain BA-level.</w:t>
            </w:r>
          </w:p>
        </w:tc>
      </w:tr>
      <w:tr>
        <w:trPr>
          <w:cantSplit/>
        </w:trPr>
        <w:tc>
          <w:tcPr>
            <w:tcW w:type="dxa" w:w="1728"/>
          </w:tcPr>
          <w:p>
            <w:r/>
            <w:r>
              <w:rPr>
                <w:rFonts w:ascii="Times New Roman" w:hAnsi="Times New Roman"/>
                <w:b w:val="0"/>
                <w:sz w:val="20"/>
              </w:rPr>
              <w:t>limitations</w:t>
            </w:r>
          </w:p>
        </w:tc>
        <w:tc>
          <w:tcPr>
            <w:tcW w:type="dxa" w:w="1008"/>
          </w:tcPr>
          <w:p>
            <w:r/>
            <w:r>
              <w:rPr>
                <w:rFonts w:ascii="Times New Roman" w:hAnsi="Times New Roman"/>
                <w:b w:val="0"/>
                <w:sz w:val="20"/>
              </w:rPr>
              <w:t>93/100</w:t>
            </w:r>
          </w:p>
        </w:tc>
        <w:tc>
          <w:tcPr>
            <w:tcW w:type="dxa" w:w="1584"/>
          </w:tcPr>
          <w:p>
            <w:r/>
            <w:r>
              <w:rPr>
                <w:rFonts w:ascii="Times New Roman" w:hAnsi="Times New Roman"/>
                <w:b w:val="0"/>
                <w:sz w:val="20"/>
              </w:rPr>
              <w:t>Limitations, paragraphs 1–3</w:t>
            </w:r>
          </w:p>
        </w:tc>
        <w:tc>
          <w:tcPr>
            <w:tcW w:type="dxa" w:w="1728"/>
          </w:tcPr>
          <w:p>
            <w:r/>
            <w:r>
              <w:rPr>
                <w:rFonts w:ascii="Times New Roman" w:hAnsi="Times New Roman"/>
                <w:b w:val="0"/>
                <w:sz w:val="20"/>
              </w:rPr>
              <w:t>Completeness</w:t>
            </w:r>
          </w:p>
        </w:tc>
        <w:tc>
          <w:tcPr>
            <w:tcW w:type="dxa" w:w="3744"/>
          </w:tcPr>
          <w:p>
            <w:r/>
            <w:r>
              <w:rPr>
                <w:rFonts w:ascii="Times New Roman" w:hAnsi="Times New Roman"/>
                <w:b w:val="0"/>
                <w:sz w:val="20"/>
              </w:rPr>
              <w:t>State any mitigation steps used in source selection and indicate how the Western/theoretical corpus may bias the argument’s conclusions.</w:t>
            </w:r>
          </w:p>
        </w:tc>
      </w:tr>
      <w:tr>
        <w:trPr>
          <w:cantSplit/>
        </w:trPr>
        <w:tc>
          <w:tcPr>
            <w:tcW w:type="dxa" w:w="1728"/>
            <w:shd w:val="clear" w:color="auto" w:fill="FFF5EB"/>
          </w:tcPr>
          <w:p>
            <w:r/>
            <w:r>
              <w:rPr>
                <w:rFonts w:ascii="Times New Roman" w:hAnsi="Times New Roman"/>
                <w:b w:val="0"/>
                <w:sz w:val="20"/>
              </w:rPr>
              <w:t>future_research</w:t>
            </w:r>
          </w:p>
        </w:tc>
        <w:tc>
          <w:tcPr>
            <w:tcW w:type="dxa" w:w="1008"/>
            <w:shd w:val="clear" w:color="auto" w:fill="FFF5EB"/>
          </w:tcPr>
          <w:p>
            <w:r/>
            <w:r>
              <w:rPr>
                <w:rFonts w:ascii="Times New Roman" w:hAnsi="Times New Roman"/>
                <w:b w:val="0"/>
                <w:sz w:val="20"/>
              </w:rPr>
              <w:t>92/100</w:t>
            </w:r>
          </w:p>
        </w:tc>
        <w:tc>
          <w:tcPr>
            <w:tcW w:type="dxa" w:w="1584"/>
            <w:shd w:val="clear" w:color="auto" w:fill="FFF5EB"/>
          </w:tcPr>
          <w:p>
            <w:r/>
            <w:r>
              <w:rPr>
                <w:rFonts w:ascii="Times New Roman" w:hAnsi="Times New Roman"/>
                <w:b w:val="0"/>
                <w:sz w:val="20"/>
              </w:rPr>
              <w:t>Future Research, paragraph 2</w:t>
            </w:r>
          </w:p>
        </w:tc>
        <w:tc>
          <w:tcPr>
            <w:tcW w:type="dxa" w:w="1728"/>
            <w:shd w:val="clear" w:color="auto" w:fill="FFF5EB"/>
          </w:tcPr>
          <w:p>
            <w:r/>
            <w:r>
              <w:rPr>
                <w:rFonts w:ascii="Times New Roman" w:hAnsi="Times New Roman"/>
                <w:b w:val="0"/>
                <w:sz w:val="20"/>
              </w:rPr>
              <w:t>Argument fidelity</w:t>
            </w:r>
          </w:p>
        </w:tc>
        <w:tc>
          <w:tcPr>
            <w:tcW w:type="dxa" w:w="3744"/>
            <w:shd w:val="clear" w:color="auto" w:fill="FFF5EB"/>
          </w:tcPr>
          <w:p>
            <w:r/>
            <w:r>
              <w:rPr>
                <w:rFonts w:ascii="Times New Roman" w:hAnsi="Times New Roman"/>
                <w:b w:val="0"/>
                <w:sz w:val="20"/>
              </w:rPr>
              <w:t>Add a sentence calling for cross-cultural, multilingual, or Global South studies, matching the limitation identified in the discussion.</w:t>
            </w:r>
          </w:p>
        </w:tc>
      </w:tr>
      <w:tr>
        <w:trPr>
          <w:cantSplit/>
        </w:trPr>
        <w:tc>
          <w:tcPr>
            <w:tcW w:type="dxa" w:w="1728"/>
          </w:tcPr>
          <w:p>
            <w:r/>
            <w:r>
              <w:rPr>
                <w:rFonts w:ascii="Times New Roman" w:hAnsi="Times New Roman"/>
                <w:b w:val="0"/>
                <w:sz w:val="20"/>
              </w:rPr>
            </w:r>
          </w:p>
        </w:tc>
        <w:tc>
          <w:tcPr>
            <w:tcW w:type="dxa" w:w="1008"/>
          </w:tcPr>
          <w:p>
            <w:r/>
            <w:r>
              <w:rPr>
                <w:rFonts w:ascii="Times New Roman" w:hAnsi="Times New Roman"/>
                <w:b w:val="0"/>
                <w:sz w:val="20"/>
              </w:rPr>
            </w:r>
          </w:p>
        </w:tc>
        <w:tc>
          <w:tcPr>
            <w:tcW w:type="dxa" w:w="1584"/>
          </w:tcPr>
          <w:p>
            <w:r/>
            <w:r>
              <w:rPr>
                <w:rFonts w:ascii="Times New Roman" w:hAnsi="Times New Roman"/>
                <w:b w:val="0"/>
                <w:sz w:val="20"/>
              </w:rPr>
              <w:t>Future Research overall</w:t>
            </w:r>
          </w:p>
        </w:tc>
        <w:tc>
          <w:tcPr>
            <w:tcW w:type="dxa" w:w="1728"/>
          </w:tcPr>
          <w:p>
            <w:r/>
            <w:r>
              <w:rPr>
                <w:rFonts w:ascii="Times New Roman" w:hAnsi="Times New Roman"/>
                <w:b w:val="0"/>
                <w:sz w:val="20"/>
              </w:rPr>
              <w:t>Scope guard</w:t>
            </w:r>
          </w:p>
        </w:tc>
        <w:tc>
          <w:tcPr>
            <w:tcW w:type="dxa" w:w="3744"/>
          </w:tcPr>
          <w:p>
            <w:r/>
            <w:r>
              <w:rPr>
                <w:rFonts w:ascii="Times New Roman" w:hAnsi="Times New Roman"/>
                <w:b w:val="0"/>
                <w:sz w:val="20"/>
              </w:rPr>
              <w:t>Keep the future-research agenda manageable for BA level by prioritising one or two concrete study designs rather than several broad programmes.</w:t>
            </w:r>
          </w:p>
        </w:tc>
      </w:tr>
      <w:tr>
        <w:trPr>
          <w:cantSplit/>
        </w:trPr>
        <w:tc>
          <w:tcPr>
            <w:tcW w:type="dxa" w:w="1728"/>
            <w:shd w:val="clear" w:color="auto" w:fill="FFF5EB"/>
          </w:tcPr>
          <w:p>
            <w:r/>
            <w:r>
              <w:rPr>
                <w:rFonts w:ascii="Times New Roman" w:hAnsi="Times New Roman"/>
                <w:b w:val="0"/>
                <w:sz w:val="20"/>
              </w:rPr>
              <w:t>summary</w:t>
            </w:r>
          </w:p>
        </w:tc>
        <w:tc>
          <w:tcPr>
            <w:tcW w:type="dxa" w:w="1008"/>
            <w:shd w:val="clear" w:color="auto" w:fill="FFF5EB"/>
          </w:tcPr>
          <w:p>
            <w:r/>
            <w:r>
              <w:rPr>
                <w:rFonts w:ascii="Times New Roman" w:hAnsi="Times New Roman"/>
                <w:b w:val="0"/>
                <w:sz w:val="20"/>
              </w:rPr>
              <w:t>92/100</w:t>
            </w:r>
          </w:p>
        </w:tc>
        <w:tc>
          <w:tcPr>
            <w:tcW w:type="dxa" w:w="1584"/>
            <w:shd w:val="clear" w:color="auto" w:fill="FFF5EB"/>
          </w:tcPr>
          <w:p>
            <w:r/>
            <w:r>
              <w:rPr>
                <w:rFonts w:ascii="Times New Roman" w:hAnsi="Times New Roman"/>
                <w:b w:val="0"/>
                <w:sz w:val="20"/>
              </w:rPr>
              <w:t>Recap of the Argument, paragraph 2</w:t>
            </w:r>
          </w:p>
        </w:tc>
        <w:tc>
          <w:tcPr>
            <w:tcW w:type="dxa" w:w="1728"/>
            <w:shd w:val="clear" w:color="auto" w:fill="FFF5EB"/>
          </w:tcPr>
          <w:p>
            <w:r/>
            <w:r>
              <w:rPr>
                <w:rFonts w:ascii="Times New Roman" w:hAnsi="Times New Roman"/>
                <w:b w:val="0"/>
                <w:sz w:val="20"/>
              </w:rPr>
              <w:t>Evidence</w:t>
            </w:r>
          </w:p>
        </w:tc>
        <w:tc>
          <w:tcPr>
            <w:tcW w:type="dxa" w:w="3744"/>
            <w:shd w:val="clear" w:color="auto" w:fill="FFF5EB"/>
          </w:tcPr>
          <w:p>
            <w:r/>
            <w:r>
              <w:rPr>
                <w:rFonts w:ascii="Times New Roman" w:hAnsi="Times New Roman"/>
                <w:b w:val="0"/>
                <w:sz w:val="20"/>
              </w:rPr>
              <w:t>If the spectrum-from-authorship-to-generatorship claim remains in the summary, it should already be fully developed and cited earlier in the paper.</w:t>
            </w:r>
          </w:p>
        </w:tc>
      </w:tr>
      <w:tr>
        <w:trPr>
          <w:cantSplit/>
        </w:trPr>
        <w:tc>
          <w:tcPr>
            <w:tcW w:type="dxa" w:w="1728"/>
          </w:tcPr>
          <w:p>
            <w:r/>
            <w:r>
              <w:rPr>
                <w:rFonts w:ascii="Times New Roman" w:hAnsi="Times New Roman"/>
                <w:b w:val="0"/>
                <w:sz w:val="20"/>
              </w:rPr>
              <w:t>appendices</w:t>
            </w:r>
          </w:p>
        </w:tc>
        <w:tc>
          <w:tcPr>
            <w:tcW w:type="dxa" w:w="1008"/>
          </w:tcPr>
          <w:p>
            <w:r/>
            <w:r>
              <w:rPr>
                <w:rFonts w:ascii="Times New Roman" w:hAnsi="Times New Roman"/>
                <w:b w:val="0"/>
                <w:sz w:val="20"/>
              </w:rPr>
              <w:t>82/100</w:t>
            </w:r>
          </w:p>
        </w:tc>
        <w:tc>
          <w:tcPr>
            <w:tcW w:type="dxa" w:w="1584"/>
          </w:tcPr>
          <w:p>
            <w:r/>
            <w:r>
              <w:rPr>
                <w:rFonts w:ascii="Times New Roman" w:hAnsi="Times New Roman"/>
                <w:b w:val="0"/>
                <w:sz w:val="20"/>
              </w:rPr>
              <w:t>Appendices</w:t>
            </w:r>
          </w:p>
        </w:tc>
        <w:tc>
          <w:tcPr>
            <w:tcW w:type="dxa" w:w="1728"/>
          </w:tcPr>
          <w:p>
            <w:r/>
            <w:r>
              <w:rPr>
                <w:rFonts w:ascii="Times New Roman" w:hAnsi="Times New Roman"/>
                <w:b w:val="0"/>
                <w:sz w:val="20"/>
              </w:rPr>
              <w:t>Completeness</w:t>
            </w:r>
          </w:p>
        </w:tc>
        <w:tc>
          <w:tcPr>
            <w:tcW w:type="dxa" w:w="3744"/>
          </w:tcPr>
          <w:p>
            <w:r/>
            <w:r>
              <w:rPr>
                <w:rFonts w:ascii="Times New Roman" w:hAnsi="Times New Roman"/>
                <w:b w:val="0"/>
                <w:sz w:val="20"/>
              </w:rPr>
              <w:t>If the institutional outline requires an appendix section, add an “Appendices” heading with “No appendices” or include relevant supporting material.</w:t>
            </w:r>
          </w:p>
        </w:tc>
      </w:tr>
    </w:tbl>
    <w:p/>
    <w:p>
      <w:pPr>
        <w:jc w:val="left"/>
      </w:pPr>
      <w:r>
        <w:rPr>
          <w:rFonts w:ascii="Times New Roman" w:hAnsi="Times New Roman"/>
          <w:b/>
          <w:sz w:val="28"/>
        </w:rPr>
        <w:t>Multi-axis review</w:t>
      </w:r>
    </w:p>
    <w:p>
      <w:pPr>
        <w:jc w:val="left"/>
      </w:pPr>
      <w:r>
        <w:rPr>
          <w:rFonts w:ascii="Times New Roman" w:hAnsi="Times New Roman"/>
          <w:b w:val="0"/>
          <w:color w:val="6B7280"/>
          <w:sz w:val="20"/>
        </w:rPr>
        <w:t>Higher-level critique of the paper as a whole. Each axis answers one structured question.</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2880"/>
            <w:shd w:val="clear" w:color="auto" w:fill="FF7A00"/>
          </w:tcPr>
          <w:p>
            <w:r/>
            <w:r>
              <w:rPr>
                <w:rFonts w:ascii="Times New Roman" w:hAnsi="Times New Roman"/>
                <w:b/>
                <w:color w:val="FFFFFF"/>
                <w:sz w:val="20"/>
              </w:rPr>
              <w:t>Axis</w:t>
            </w:r>
          </w:p>
        </w:tc>
        <w:tc>
          <w:tcPr>
            <w:tcW w:type="dxa" w:w="1440"/>
            <w:shd w:val="clear" w:color="auto" w:fill="FF7A00"/>
          </w:tcPr>
          <w:p>
            <w:r/>
            <w:r>
              <w:rPr>
                <w:rFonts w:ascii="Times New Roman" w:hAnsi="Times New Roman"/>
                <w:b/>
                <w:color w:val="FFFFFF"/>
                <w:sz w:val="20"/>
              </w:rPr>
              <w:t>Verdict</w:t>
            </w:r>
          </w:p>
        </w:tc>
        <w:tc>
          <w:tcPr>
            <w:tcW w:type="dxa" w:w="5040"/>
            <w:shd w:val="clear" w:color="auto" w:fill="FF7A00"/>
          </w:tcPr>
          <w:p>
            <w:r/>
            <w:r>
              <w:rPr>
                <w:rFonts w:ascii="Times New Roman" w:hAnsi="Times New Roman"/>
                <w:b/>
                <w:color w:val="FFFFFF"/>
                <w:sz w:val="20"/>
              </w:rPr>
              <w:t>Finding</w:t>
            </w:r>
          </w:p>
        </w:tc>
      </w:tr>
      <w:tr>
        <w:trPr>
          <w:cantSplit/>
        </w:trPr>
        <w:tc>
          <w:tcPr>
            <w:tcW w:type="dxa" w:w="2880"/>
          </w:tcPr>
          <w:p>
            <w:r/>
            <w:r>
              <w:rPr>
                <w:rFonts w:ascii="Times New Roman" w:hAnsi="Times New Roman"/>
                <w:b/>
                <w:sz w:val="20"/>
              </w:rPr>
              <w:t>Methodological</w:t>
            </w:r>
          </w:p>
          <w:p>
            <w:r>
              <w:rPr>
                <w:rFonts w:ascii="Times New Roman" w:hAnsi="Times New Roman"/>
                <w:color w:val="6B7280"/>
                <w:sz w:val="18"/>
              </w:rPr>
              <w:t>Does the methodology actually answer the research question?</w:t>
            </w:r>
          </w:p>
        </w:tc>
        <w:tc>
          <w:tcPr>
            <w:tcW w:type="dxa" w:w="1440"/>
            <w:shd w:val="clear" w:color="auto" w:fill="FEF3C7"/>
          </w:tcPr>
          <w:p>
            <w:r/>
            <w:r>
              <w:rPr>
                <w:rFonts w:ascii="Times New Roman" w:hAnsi="Times New Roman"/>
                <w:b/>
                <w:sz w:val="20"/>
              </w:rPr>
              <w:t>adequate</w:t>
            </w:r>
          </w:p>
        </w:tc>
        <w:tc>
          <w:tcPr>
            <w:tcW w:type="dxa" w:w="5040"/>
          </w:tcPr>
          <w:p>
            <w:r/>
            <w:r>
              <w:rPr>
                <w:rFonts w:ascii="Times New Roman" w:hAnsi="Times New Roman"/>
                <w:b w:val="0"/>
                <w:sz w:val="20"/>
              </w:rPr>
              <w:t>The theoretical review method fits the question, but source selection lacks explicit inclusion/exclusion criteria and a rationale beyond relevance.</w:t>
            </w:r>
          </w:p>
        </w:tc>
      </w:tr>
      <w:tr>
        <w:trPr>
          <w:cantSplit/>
        </w:trPr>
        <w:tc>
          <w:tcPr>
            <w:tcW w:type="dxa" w:w="2880"/>
          </w:tcPr>
          <w:p>
            <w:r/>
            <w:r>
              <w:rPr>
                <w:rFonts w:ascii="Times New Roman" w:hAnsi="Times New Roman"/>
                <w:b/>
                <w:sz w:val="20"/>
              </w:rPr>
              <w:t>Theoretical</w:t>
            </w:r>
          </w:p>
          <w:p>
            <w:r>
              <w:rPr>
                <w:rFonts w:ascii="Times New Roman" w:hAnsi="Times New Roman"/>
                <w:color w:val="6B7280"/>
                <w:sz w:val="18"/>
              </w:rPr>
              <w:t>Is the theoretical framing coherent and consistently used?</w:t>
            </w:r>
          </w:p>
        </w:tc>
        <w:tc>
          <w:tcPr>
            <w:tcW w:type="dxa" w:w="1440"/>
            <w:shd w:val="clear" w:color="auto" w:fill="DCFCE7"/>
          </w:tcPr>
          <w:p>
            <w:r/>
            <w:r>
              <w:rPr>
                <w:rFonts w:ascii="Times New Roman" w:hAnsi="Times New Roman"/>
                <w:b/>
                <w:sz w:val="20"/>
              </w:rPr>
              <w:t>strong</w:t>
            </w:r>
          </w:p>
        </w:tc>
        <w:tc>
          <w:tcPr>
            <w:tcW w:type="dxa" w:w="5040"/>
          </w:tcPr>
          <w:p>
            <w:r/>
            <w:r>
              <w:rPr>
                <w:rFonts w:ascii="Times New Roman" w:hAnsi="Times New Roman"/>
                <w:b w:val="0"/>
                <w:sz w:val="20"/>
              </w:rPr>
              <w:t>The legal, intentionalist, and posthumanist constructs are coherently defined and used as the paper’s organising frame.</w:t>
            </w:r>
          </w:p>
        </w:tc>
      </w:tr>
      <w:tr>
        <w:trPr>
          <w:cantSplit/>
        </w:trPr>
        <w:tc>
          <w:tcPr>
            <w:tcW w:type="dxa" w:w="2880"/>
          </w:tcPr>
          <w:p>
            <w:r/>
            <w:r>
              <w:rPr>
                <w:rFonts w:ascii="Times New Roman" w:hAnsi="Times New Roman"/>
                <w:b/>
                <w:sz w:val="20"/>
              </w:rPr>
              <w:t>Argumentative</w:t>
            </w:r>
          </w:p>
          <w:p>
            <w:r>
              <w:rPr>
                <w:rFonts w:ascii="Times New Roman" w:hAnsi="Times New Roman"/>
                <w:color w:val="6B7280"/>
                <w:sz w:val="18"/>
              </w:rPr>
              <w:t>Is the chain of reasoning sound on its own merits?</w:t>
            </w:r>
          </w:p>
        </w:tc>
        <w:tc>
          <w:tcPr>
            <w:tcW w:type="dxa" w:w="1440"/>
            <w:shd w:val="clear" w:color="auto" w:fill="FEF3C7"/>
          </w:tcPr>
          <w:p>
            <w:r/>
            <w:r>
              <w:rPr>
                <w:rFonts w:ascii="Times New Roman" w:hAnsi="Times New Roman"/>
                <w:b/>
                <w:sz w:val="20"/>
              </w:rPr>
              <w:t>adequate</w:t>
            </w:r>
          </w:p>
        </w:tc>
        <w:tc>
          <w:tcPr>
            <w:tcW w:type="dxa" w:w="5040"/>
          </w:tcPr>
          <w:p>
            <w:r/>
            <w:r>
              <w:rPr>
                <w:rFonts w:ascii="Times New Roman" w:hAnsi="Times New Roman"/>
                <w:b w:val="0"/>
                <w:sz w:val="20"/>
              </w:rPr>
              <w:t>The central claim is coherent, but the governance recommendation remains interpretive rather than demonstrated.</w:t>
            </w:r>
          </w:p>
        </w:tc>
      </w:tr>
      <w:tr>
        <w:trPr>
          <w:cantSplit/>
        </w:trPr>
        <w:tc>
          <w:tcPr>
            <w:tcW w:type="dxa" w:w="2880"/>
          </w:tcPr>
          <w:p>
            <w:r/>
            <w:r>
              <w:rPr>
                <w:rFonts w:ascii="Times New Roman" w:hAnsi="Times New Roman"/>
                <w:b/>
                <w:sz w:val="20"/>
              </w:rPr>
              <w:t>Cross-disciplinary</w:t>
            </w:r>
          </w:p>
          <w:p>
            <w:r>
              <w:rPr>
                <w:rFonts w:ascii="Times New Roman" w:hAnsi="Times New Roman"/>
                <w:color w:val="6B7280"/>
                <w:sz w:val="18"/>
              </w:rPr>
              <w:t>How would a sceptical reader from an adjacent field read this?</w:t>
            </w:r>
          </w:p>
        </w:tc>
        <w:tc>
          <w:tcPr>
            <w:tcW w:type="dxa" w:w="1440"/>
            <w:shd w:val="clear" w:color="auto" w:fill="FEF3C7"/>
          </w:tcPr>
          <w:p>
            <w:r/>
            <w:r>
              <w:rPr>
                <w:rFonts w:ascii="Times New Roman" w:hAnsi="Times New Roman"/>
                <w:b/>
                <w:sz w:val="20"/>
              </w:rPr>
              <w:t>adequate</w:t>
            </w:r>
          </w:p>
        </w:tc>
        <w:tc>
          <w:tcPr>
            <w:tcW w:type="dxa" w:w="5040"/>
          </w:tcPr>
          <w:p>
            <w:r/>
            <w:r>
              <w:rPr>
                <w:rFonts w:ascii="Times New Roman" w:hAnsi="Times New Roman"/>
                <w:b w:val="0"/>
                <w:sz w:val="20"/>
              </w:rPr>
              <w:t>A higher-education or empirical methods reader would ask how student and staff practices affect the proposed continuum; the paper notes this gap.</w:t>
            </w:r>
          </w:p>
        </w:tc>
      </w:tr>
      <w:tr>
        <w:trPr>
          <w:cantSplit/>
        </w:trPr>
        <w:tc>
          <w:tcPr>
            <w:tcW w:type="dxa" w:w="2880"/>
          </w:tcPr>
          <w:p>
            <w:r/>
            <w:r>
              <w:rPr>
                <w:rFonts w:ascii="Times New Roman" w:hAnsi="Times New Roman"/>
                <w:b/>
                <w:sz w:val="20"/>
              </w:rPr>
              <w:t>Adversarial (devil's advocate)</w:t>
            </w:r>
          </w:p>
          <w:p>
            <w:r>
              <w:rPr>
                <w:rFonts w:ascii="Times New Roman" w:hAnsi="Times New Roman"/>
                <w:color w:val="6B7280"/>
                <w:sz w:val="18"/>
              </w:rPr>
              <w:t>Strongest objection a sceptic could raise to the central thesis — and whether the paper addresses it.</w:t>
            </w:r>
          </w:p>
        </w:tc>
        <w:tc>
          <w:tcPr>
            <w:tcW w:type="dxa" w:w="1440"/>
            <w:shd w:val="clear" w:color="auto" w:fill="FEF3C7"/>
          </w:tcPr>
          <w:p>
            <w:r/>
            <w:r>
              <w:rPr>
                <w:rFonts w:ascii="Times New Roman" w:hAnsi="Times New Roman"/>
                <w:b/>
                <w:sz w:val="20"/>
              </w:rPr>
              <w:t>adequate</w:t>
            </w:r>
          </w:p>
        </w:tc>
        <w:tc>
          <w:tcPr>
            <w:tcW w:type="dxa" w:w="5040"/>
          </w:tcPr>
          <w:p>
            <w:r/>
            <w:r>
              <w:rPr>
                <w:rFonts w:ascii="Times New Roman" w:hAnsi="Times New Roman"/>
                <w:b w:val="0"/>
                <w:sz w:val="20"/>
              </w:rPr>
              <w:t>Objection: Western, English-language theory may not generalise to non-Western authorship norms. | Addressed: yes</w:t>
            </w:r>
          </w:p>
        </w:tc>
      </w:tr>
      <w:tr>
        <w:trPr>
          <w:cantSplit/>
        </w:trPr>
        <w:tc>
          <w:tcPr>
            <w:tcW w:type="dxa" w:w="2880"/>
          </w:tcPr>
          <w:p>
            <w:r/>
            <w:r>
              <w:rPr>
                <w:rFonts w:ascii="Times New Roman" w:hAnsi="Times New Roman"/>
                <w:b/>
                <w:sz w:val="20"/>
              </w:rPr>
              <w:t>Title promise</w:t>
            </w:r>
          </w:p>
          <w:p>
            <w:r>
              <w:rPr>
                <w:rFonts w:ascii="Times New Roman" w:hAnsi="Times New Roman"/>
                <w:color w:val="6B7280"/>
                <w:sz w:val="18"/>
              </w:rPr>
              <w:t>Does the paper deliver what the title commits to?</w:t>
            </w:r>
          </w:p>
        </w:tc>
        <w:tc>
          <w:tcPr>
            <w:tcW w:type="dxa" w:w="1440"/>
            <w:shd w:val="clear" w:color="auto" w:fill="DCFCE7"/>
          </w:tcPr>
          <w:p>
            <w:r/>
            <w:r>
              <w:rPr>
                <w:rFonts w:ascii="Times New Roman" w:hAnsi="Times New Roman"/>
                <w:b/>
                <w:sz w:val="20"/>
              </w:rPr>
              <w:t>strong</w:t>
            </w:r>
          </w:p>
        </w:tc>
        <w:tc>
          <w:tcPr>
            <w:tcW w:type="dxa" w:w="5040"/>
          </w:tcPr>
          <w:p>
            <w:r/>
            <w:r>
              <w:rPr>
                <w:rFonts w:ascii="Times New Roman" w:hAnsi="Times New Roman"/>
                <w:b w:val="0"/>
                <w:sz w:val="20"/>
              </w:rPr>
              <w:t>Title commits to: reconceptualisation and theoretical review | Delivered: yes | Most-broken: none</w:t>
            </w:r>
          </w:p>
        </w:tc>
      </w:tr>
      <w:tr>
        <w:trPr>
          <w:cantSplit/>
        </w:trPr>
        <w:tc>
          <w:tcPr>
            <w:tcW w:type="dxa" w:w="2880"/>
          </w:tcPr>
          <w:p>
            <w:r/>
            <w:r>
              <w:rPr>
                <w:rFonts w:ascii="Times New Roman" w:hAnsi="Times New Roman"/>
                <w:b/>
                <w:sz w:val="20"/>
              </w:rPr>
              <w:t>Narrative coherence</w:t>
            </w:r>
          </w:p>
          <w:p>
            <w:r>
              <w:rPr>
                <w:rFonts w:ascii="Times New Roman" w:hAnsi="Times New Roman"/>
                <w:color w:val="6B7280"/>
                <w:sz w:val="18"/>
              </w:rPr>
              <w:t>Are the introduction's promises picked up in discussion and conclusion?</w:t>
            </w:r>
          </w:p>
        </w:tc>
        <w:tc>
          <w:tcPr>
            <w:tcW w:type="dxa" w:w="1440"/>
            <w:shd w:val="clear" w:color="auto" w:fill="FEF3C7"/>
          </w:tcPr>
          <w:p>
            <w:r/>
            <w:r>
              <w:rPr>
                <w:rFonts w:ascii="Times New Roman" w:hAnsi="Times New Roman"/>
                <w:b/>
                <w:sz w:val="20"/>
              </w:rPr>
              <w:t>adequate</w:t>
            </w:r>
          </w:p>
        </w:tc>
        <w:tc>
          <w:tcPr>
            <w:tcW w:type="dxa" w:w="5040"/>
          </w:tcPr>
          <w:p>
            <w:r/>
            <w:r>
              <w:rPr>
                <w:rFonts w:ascii="Times New Roman" w:hAnsi="Times New Roman"/>
                <w:b w:val="0"/>
                <w:sz w:val="20"/>
              </w:rPr>
              <w:t>Promise gap: The introduction promises relational originality, but the body treats it mainly inside the delegation/disclosure synthesis.</w:t>
            </w:r>
          </w:p>
        </w:tc>
      </w:tr>
      <w:tr>
        <w:trPr>
          <w:cantSplit/>
        </w:trPr>
        <w:tc>
          <w:tcPr>
            <w:tcW w:type="dxa" w:w="2880"/>
          </w:tcPr>
          <w:p>
            <w:r/>
            <w:r>
              <w:rPr>
                <w:rFonts w:ascii="Times New Roman" w:hAnsi="Times New Roman"/>
                <w:b/>
                <w:sz w:val="20"/>
              </w:rPr>
              <w:t>Shortcut reliance</w:t>
            </w:r>
          </w:p>
          <w:p>
            <w:r>
              <w:rPr>
                <w:rFonts w:ascii="Times New Roman" w:hAnsi="Times New Roman"/>
                <w:color w:val="6B7280"/>
                <w:sz w:val="18"/>
              </w:rPr>
              <w:t>Does the writing dodge the work the argument requires — formulaic endings, hedge stacks, filler that restates rather than advances?</w:t>
            </w:r>
          </w:p>
        </w:tc>
        <w:tc>
          <w:tcPr>
            <w:tcW w:type="dxa" w:w="1440"/>
            <w:shd w:val="clear" w:color="auto" w:fill="DCFCE7"/>
          </w:tcPr>
          <w:p>
            <w:r/>
            <w:r>
              <w:rPr>
                <w:rFonts w:ascii="Times New Roman" w:hAnsi="Times New Roman"/>
                <w:b/>
                <w:sz w:val="20"/>
              </w:rPr>
              <w:t>strong</w:t>
            </w:r>
          </w:p>
        </w:tc>
        <w:tc>
          <w:tcPr>
            <w:tcW w:type="dxa" w:w="5040"/>
          </w:tcPr>
          <w:p>
            <w:r/>
            <w:r>
              <w:rPr>
                <w:rFonts w:ascii="Times New Roman" w:hAnsi="Times New Roman"/>
                <w:b w:val="0"/>
                <w:sz w:val="20"/>
              </w:rPr>
              <w:t>No major shortcut: the paper takes a defensible position while acknowledging the limits of a theoretical review.</w:t>
            </w:r>
          </w:p>
        </w:tc>
      </w:tr>
      <w:tr>
        <w:trPr>
          <w:cantSplit/>
        </w:trPr>
        <w:tc>
          <w:tcPr>
            <w:tcW w:type="dxa" w:w="2880"/>
          </w:tcPr>
          <w:p>
            <w:r/>
            <w:r>
              <w:rPr>
                <w:rFonts w:ascii="Times New Roman" w:hAnsi="Times New Roman"/>
                <w:b/>
                <w:sz w:val="20"/>
              </w:rPr>
              <w:t>Frame lock</w:t>
            </w:r>
          </w:p>
          <w:p>
            <w:r>
              <w:rPr>
                <w:rFonts w:ascii="Times New Roman" w:hAnsi="Times New Roman"/>
                <w:color w:val="6B7280"/>
                <w:sz w:val="18"/>
              </w:rPr>
              <w:t>Does the paper acknowledge alternative framings or theoretical lenses, or anchor on a single frame without revisiting it?</w:t>
            </w:r>
          </w:p>
        </w:tc>
        <w:tc>
          <w:tcPr>
            <w:tcW w:type="dxa" w:w="1440"/>
            <w:shd w:val="clear" w:color="auto" w:fill="DCFCE7"/>
          </w:tcPr>
          <w:p>
            <w:r/>
            <w:r>
              <w:rPr>
                <w:rFonts w:ascii="Times New Roman" w:hAnsi="Times New Roman"/>
                <w:b/>
                <w:sz w:val="20"/>
              </w:rPr>
              <w:t>strong</w:t>
            </w:r>
          </w:p>
        </w:tc>
        <w:tc>
          <w:tcPr>
            <w:tcW w:type="dxa" w:w="5040"/>
          </w:tcPr>
          <w:p>
            <w:r/>
            <w:r>
              <w:rPr>
                <w:rFonts w:ascii="Times New Roman" w:hAnsi="Times New Roman"/>
                <w:b w:val="0"/>
                <w:sz w:val="20"/>
              </w:rPr>
              <w:t>Single frame: none; legal, intentionalist, and posthumanist alternatives are compared | Alternatives considered: yes</w:t>
            </w:r>
          </w:p>
        </w:tc>
      </w:tr>
    </w:tbl>
    <w:p/>
    <w:p>
      <w:pPr>
        <w:jc w:val="left"/>
      </w:pPr>
      <w:r>
        <w:rPr>
          <w:rFonts w:ascii="Times New Roman" w:hAnsi="Times New Roman"/>
          <w:b/>
          <w:sz w:val="28"/>
        </w:rPr>
        <w:t>Section checklist</w:t>
      </w:r>
    </w:p>
    <w:p>
      <w:pPr>
        <w:jc w:val="left"/>
      </w:pPr>
      <w:r>
        <w:rPr>
          <w:rFonts w:ascii="Times New Roman" w:hAnsi="Times New Roman"/>
          <w:b w:val="0"/>
          <w:color w:val="6B7280"/>
          <w:sz w:val="20"/>
        </w:rPr>
        <w:t>Structural items expected for each section. Diagnostic only — these checks do not change the section score; they surface binary present/absent gaps the continuous scoring may miss.</w:t>
      </w:r>
    </w:p>
    <w:p>
      <w:pPr>
        <w:jc w:val="left"/>
      </w:pPr>
      <w:r>
        <w:rPr>
          <w:rFonts w:ascii="Times New Roman" w:hAnsi="Times New Roman"/>
          <w:b/>
          <w:sz w:val="24"/>
        </w:rPr>
        <w:t>Abstract</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r/>
            <w:r>
              <w:rPr>
                <w:rFonts w:ascii="Times New Roman" w:hAnsi="Times New Roman"/>
                <w:b/>
                <w:color w:val="FFFFFF"/>
                <w:sz w:val="20"/>
              </w:rPr>
              <w:t>Item</w:t>
            </w:r>
          </w:p>
        </w:tc>
        <w:tc>
          <w:tcPr>
            <w:tcW w:type="dxa" w:w="1152"/>
            <w:shd w:val="clear" w:color="auto" w:fill="FF7A00"/>
          </w:tcPr>
          <w:p>
            <w:r/>
            <w:r>
              <w:rPr>
                <w:rFonts w:ascii="Times New Roman" w:hAnsi="Times New Roman"/>
                <w:b/>
                <w:color w:val="FFFFFF"/>
                <w:sz w:val="20"/>
              </w:rPr>
              <w:t>Reported</w:t>
            </w:r>
          </w:p>
        </w:tc>
        <w:tc>
          <w:tcPr>
            <w:tcW w:type="dxa" w:w="3312"/>
            <w:shd w:val="clear" w:color="auto" w:fill="FF7A00"/>
          </w:tcPr>
          <w:p>
            <w:r/>
            <w:r>
              <w:rPr>
                <w:rFonts w:ascii="Times New Roman" w:hAnsi="Times New Roman"/>
                <w:b/>
                <w:color w:val="FFFFFF"/>
                <w:sz w:val="20"/>
              </w:rPr>
              <w:t>Note</w:t>
            </w:r>
          </w:p>
        </w:tc>
      </w:tr>
      <w:tr>
        <w:trPr>
          <w:cantSplit/>
        </w:trPr>
        <w:tc>
          <w:tcPr>
            <w:tcW w:type="dxa" w:w="4896"/>
          </w:tcPr>
          <w:p>
            <w:r/>
            <w:r>
              <w:rPr>
                <w:rFonts w:ascii="Times New Roman" w:hAnsi="Times New Roman"/>
                <w:b w:val="0"/>
                <w:sz w:val="20"/>
              </w:rPr>
              <w:t>Self-contained — no undefined acronyms, no in-text citations</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AI and LLMs are defined; no citation markers appear.</w:t>
            </w:r>
          </w:p>
        </w:tc>
      </w:tr>
      <w:tr>
        <w:trPr>
          <w:cantSplit/>
        </w:trPr>
        <w:tc>
          <w:tcPr>
            <w:tcW w:type="dxa" w:w="4896"/>
          </w:tcPr>
          <w:p>
            <w:r/>
            <w:r>
              <w:rPr>
                <w:rFonts w:ascii="Times New Roman" w:hAnsi="Times New Roman"/>
                <w:b w:val="0"/>
                <w:sz w:val="20"/>
              </w:rPr>
              <w:t>Reflects the paper's actual conclusion (matches the conclusion section)</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abstract’s continuum/disclosure claim matches the summary.</w:t>
            </w:r>
          </w:p>
        </w:tc>
      </w:tr>
      <w:tr>
        <w:trPr>
          <w:cantSplit/>
        </w:trPr>
        <w:tc>
          <w:tcPr>
            <w:tcW w:type="dxa" w:w="4896"/>
          </w:tcPr>
          <w:p>
            <w:r/>
            <w:r>
              <w:rPr>
                <w:rFonts w:ascii="Times New Roman" w:hAnsi="Times New Roman"/>
                <w:b w:val="0"/>
                <w:sz w:val="20"/>
              </w:rPr>
              <w:t>Includes context, method (if applicable), and main result</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Context, theoretical framework, and core contribution are stated.</w:t>
            </w:r>
          </w:p>
        </w:tc>
      </w:tr>
    </w:tbl>
    <w:p/>
    <w:p>
      <w:pPr>
        <w:jc w:val="left"/>
      </w:pPr>
      <w:r>
        <w:rPr>
          <w:rFonts w:ascii="Times New Roman" w:hAnsi="Times New Roman"/>
          <w:b/>
          <w:sz w:val="24"/>
        </w:rPr>
        <w:t>Introduction</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r/>
            <w:r>
              <w:rPr>
                <w:rFonts w:ascii="Times New Roman" w:hAnsi="Times New Roman"/>
                <w:b/>
                <w:color w:val="FFFFFF"/>
                <w:sz w:val="20"/>
              </w:rPr>
              <w:t>Item</w:t>
            </w:r>
          </w:p>
        </w:tc>
        <w:tc>
          <w:tcPr>
            <w:tcW w:type="dxa" w:w="1152"/>
            <w:shd w:val="clear" w:color="auto" w:fill="FF7A00"/>
          </w:tcPr>
          <w:p>
            <w:r/>
            <w:r>
              <w:rPr>
                <w:rFonts w:ascii="Times New Roman" w:hAnsi="Times New Roman"/>
                <w:b/>
                <w:color w:val="FFFFFF"/>
                <w:sz w:val="20"/>
              </w:rPr>
              <w:t>Reported</w:t>
            </w:r>
          </w:p>
        </w:tc>
        <w:tc>
          <w:tcPr>
            <w:tcW w:type="dxa" w:w="3312"/>
            <w:shd w:val="clear" w:color="auto" w:fill="FF7A00"/>
          </w:tcPr>
          <w:p>
            <w:r/>
            <w:r>
              <w:rPr>
                <w:rFonts w:ascii="Times New Roman" w:hAnsi="Times New Roman"/>
                <w:b/>
                <w:color w:val="FFFFFF"/>
                <w:sz w:val="20"/>
              </w:rPr>
              <w:t>Note</w:t>
            </w:r>
          </w:p>
        </w:tc>
      </w:tr>
      <w:tr>
        <w:trPr>
          <w:cantSplit/>
        </w:trPr>
        <w:tc>
          <w:tcPr>
            <w:tcW w:type="dxa" w:w="4896"/>
          </w:tcPr>
          <w:p>
            <w:r/>
            <w:r>
              <w:rPr>
                <w:rFonts w:ascii="Times New Roman" w:hAnsi="Times New Roman"/>
                <w:b w:val="0"/>
                <w:sz w:val="20"/>
              </w:rPr>
              <w:t>Topic background established (why this matters)</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opening connects authorship debates to generative AI.</w:t>
            </w:r>
          </w:p>
        </w:tc>
      </w:tr>
      <w:tr>
        <w:trPr>
          <w:cantSplit/>
        </w:trPr>
        <w:tc>
          <w:tcPr>
            <w:tcW w:type="dxa" w:w="4896"/>
          </w:tcPr>
          <w:p>
            <w:r/>
            <w:r>
              <w:rPr>
                <w:rFonts w:ascii="Times New Roman" w:hAnsi="Times New Roman"/>
                <w:b w:val="0"/>
                <w:sz w:val="20"/>
              </w:rPr>
              <w:t>Knowledge gap explicitly named</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gap is framed as inadequacy of existing frameworks.</w:t>
            </w:r>
          </w:p>
        </w:tc>
      </w:tr>
      <w:tr>
        <w:trPr>
          <w:cantSplit/>
        </w:trPr>
        <w:tc>
          <w:tcPr>
            <w:tcW w:type="dxa" w:w="4896"/>
          </w:tcPr>
          <w:p>
            <w:r/>
            <w:r>
              <w:rPr>
                <w:rFonts w:ascii="Times New Roman" w:hAnsi="Times New Roman"/>
                <w:b w:val="0"/>
                <w:sz w:val="20"/>
              </w:rPr>
              <w:t>Research aim or central question stated</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research question is stated directly.</w:t>
            </w:r>
          </w:p>
        </w:tc>
      </w:tr>
      <w:tr>
        <w:trPr>
          <w:cantSplit/>
        </w:trPr>
        <w:tc>
          <w:tcPr>
            <w:tcW w:type="dxa" w:w="4896"/>
          </w:tcPr>
          <w:p>
            <w:r/>
            <w:r>
              <w:rPr>
                <w:rFonts w:ascii="Times New Roman" w:hAnsi="Times New Roman"/>
                <w:b w:val="0"/>
                <w:sz w:val="20"/>
              </w:rPr>
              <w:t>Scope outlined — what the paper will and will not cover</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final paragraph outlines the paper’s sections and scope.</w:t>
            </w:r>
          </w:p>
        </w:tc>
      </w:tr>
    </w:tbl>
    <w:p/>
    <w:p>
      <w:pPr>
        <w:jc w:val="left"/>
      </w:pPr>
      <w:r>
        <w:rPr>
          <w:rFonts w:ascii="Times New Roman" w:hAnsi="Times New Roman"/>
          <w:b/>
          <w:sz w:val="24"/>
        </w:rPr>
        <w:t>Literature Review</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r/>
            <w:r>
              <w:rPr>
                <w:rFonts w:ascii="Times New Roman" w:hAnsi="Times New Roman"/>
                <w:b/>
                <w:color w:val="FFFFFF"/>
                <w:sz w:val="20"/>
              </w:rPr>
              <w:t>Item</w:t>
            </w:r>
          </w:p>
        </w:tc>
        <w:tc>
          <w:tcPr>
            <w:tcW w:type="dxa" w:w="1152"/>
            <w:shd w:val="clear" w:color="auto" w:fill="FF7A00"/>
          </w:tcPr>
          <w:p>
            <w:r/>
            <w:r>
              <w:rPr>
                <w:rFonts w:ascii="Times New Roman" w:hAnsi="Times New Roman"/>
                <w:b/>
                <w:color w:val="FFFFFF"/>
                <w:sz w:val="20"/>
              </w:rPr>
              <w:t>Reported</w:t>
            </w:r>
          </w:p>
        </w:tc>
        <w:tc>
          <w:tcPr>
            <w:tcW w:type="dxa" w:w="3312"/>
            <w:shd w:val="clear" w:color="auto" w:fill="FF7A00"/>
          </w:tcPr>
          <w:p>
            <w:r/>
            <w:r>
              <w:rPr>
                <w:rFonts w:ascii="Times New Roman" w:hAnsi="Times New Roman"/>
                <w:b/>
                <w:color w:val="FFFFFF"/>
                <w:sz w:val="20"/>
              </w:rPr>
              <w:t>Note</w:t>
            </w:r>
          </w:p>
        </w:tc>
      </w:tr>
      <w:tr>
        <w:trPr>
          <w:cantSplit/>
        </w:trPr>
        <w:tc>
          <w:tcPr>
            <w:tcW w:type="dxa" w:w="4896"/>
          </w:tcPr>
          <w:p>
            <w:r/>
            <w:r>
              <w:rPr>
                <w:rFonts w:ascii="Times New Roman" w:hAnsi="Times New Roman"/>
                <w:b w:val="0"/>
                <w:sz w:val="20"/>
              </w:rPr>
              <w:t>Organised around 2–4 explicit thematic topics (not chronological / alphabetical / one-paper-per-paragraph citation list); each topic opens with a topic sentence that defines its scope</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review uses spectrum, legal/institutional pressure, and tensions.</w:t>
            </w:r>
          </w:p>
        </w:tc>
      </w:tr>
      <w:tr>
        <w:trPr>
          <w:cantSplit/>
        </w:trPr>
        <w:tc>
          <w:tcPr>
            <w:tcW w:type="dxa" w:w="4896"/>
          </w:tcPr>
          <w:p>
            <w:r/>
            <w:r>
              <w:rPr>
                <w:rFonts w:ascii="Times New Roman" w:hAnsi="Times New Roman"/>
                <w:b w:val="0"/>
                <w:sz w:val="20"/>
              </w:rPr>
              <w:t>Multiple competing perspectives presented within or across topics, not a single dominant narrative</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Tool/agent, transparency, and deconstruction positions are contrasted.</w:t>
            </w:r>
          </w:p>
        </w:tc>
      </w:tr>
      <w:tr>
        <w:trPr>
          <w:cantSplit/>
        </w:trPr>
        <w:tc>
          <w:tcPr>
            <w:tcW w:type="dxa" w:w="4896"/>
          </w:tcPr>
          <w:p>
            <w:r/>
            <w:r>
              <w:rPr>
                <w:rFonts w:ascii="Times New Roman" w:hAnsi="Times New Roman"/>
                <w:b w:val="0"/>
                <w:sz w:val="20"/>
              </w:rPr>
              <w:t>Each topic block closes with a gap or unresolved question, and those gaps connect forward to the paper's research aim or contribution</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Most topic blocks end by identifying governance or accountability gaps.</w:t>
            </w:r>
          </w:p>
        </w:tc>
      </w:tr>
      <w:tr>
        <w:trPr>
          <w:cantSplit/>
        </w:trPr>
        <w:tc>
          <w:tcPr>
            <w:tcW w:type="dxa" w:w="4896"/>
          </w:tcPr>
          <w:p>
            <w:r/>
            <w:r>
              <w:rPr>
                <w:rFonts w:ascii="Times New Roman" w:hAnsi="Times New Roman"/>
                <w:b w:val="0"/>
                <w:sz w:val="20"/>
              </w:rPr>
              <w:t>Recent literature included (last 5–10 years where the field allows)</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stated corpus spans 2015–2025.</w:t>
            </w:r>
          </w:p>
        </w:tc>
      </w:tr>
    </w:tbl>
    <w:p/>
    <w:p>
      <w:pPr>
        <w:jc w:val="left"/>
      </w:pPr>
      <w:r>
        <w:rPr>
          <w:rFonts w:ascii="Times New Roman" w:hAnsi="Times New Roman"/>
          <w:b/>
          <w:sz w:val="24"/>
        </w:rPr>
        <w:t>Discussion</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r/>
            <w:r>
              <w:rPr>
                <w:rFonts w:ascii="Times New Roman" w:hAnsi="Times New Roman"/>
                <w:b/>
                <w:color w:val="FFFFFF"/>
                <w:sz w:val="20"/>
              </w:rPr>
              <w:t>Item</w:t>
            </w:r>
          </w:p>
        </w:tc>
        <w:tc>
          <w:tcPr>
            <w:tcW w:type="dxa" w:w="1152"/>
            <w:shd w:val="clear" w:color="auto" w:fill="FF7A00"/>
          </w:tcPr>
          <w:p>
            <w:r/>
            <w:r>
              <w:rPr>
                <w:rFonts w:ascii="Times New Roman" w:hAnsi="Times New Roman"/>
                <w:b/>
                <w:color w:val="FFFFFF"/>
                <w:sz w:val="20"/>
              </w:rPr>
              <w:t>Reported</w:t>
            </w:r>
          </w:p>
        </w:tc>
        <w:tc>
          <w:tcPr>
            <w:tcW w:type="dxa" w:w="3312"/>
            <w:shd w:val="clear" w:color="auto" w:fill="FF7A00"/>
          </w:tcPr>
          <w:p>
            <w:r/>
            <w:r>
              <w:rPr>
                <w:rFonts w:ascii="Times New Roman" w:hAnsi="Times New Roman"/>
                <w:b/>
                <w:color w:val="FFFFFF"/>
                <w:sz w:val="20"/>
              </w:rPr>
              <w:t>Note</w:t>
            </w:r>
          </w:p>
        </w:tc>
      </w:tr>
      <w:tr>
        <w:trPr>
          <w:cantSplit/>
        </w:trPr>
        <w:tc>
          <w:tcPr>
            <w:tcW w:type="dxa" w:w="4896"/>
          </w:tcPr>
          <w:p>
            <w:r/>
            <w:r>
              <w:rPr>
                <w:rFonts w:ascii="Times New Roman" w:hAnsi="Times New Roman"/>
                <w:b w:val="0"/>
                <w:sz w:val="20"/>
              </w:rPr>
              <w:t>Opens with a summary of the main findings</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first paragraph summarises the three trajectories and central finding.</w:t>
            </w:r>
          </w:p>
        </w:tc>
      </w:tr>
      <w:tr>
        <w:trPr>
          <w:cantSplit/>
        </w:trPr>
        <w:tc>
          <w:tcPr>
            <w:tcW w:type="dxa" w:w="4896"/>
          </w:tcPr>
          <w:p>
            <w:r/>
            <w:r>
              <w:rPr>
                <w:rFonts w:ascii="Times New Roman" w:hAnsi="Times New Roman"/>
                <w:b w:val="0"/>
                <w:sz w:val="20"/>
              </w:rPr>
              <w:t>Findings compared explicitly to existing literature</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Bajohr, Zeilinger, Adema, and Israel and Amer are compared.</w:t>
            </w:r>
          </w:p>
        </w:tc>
      </w:tr>
      <w:tr>
        <w:trPr>
          <w:cantSplit/>
        </w:trPr>
        <w:tc>
          <w:tcPr>
            <w:tcW w:type="dxa" w:w="4896"/>
          </w:tcPr>
          <w:p>
            <w:r/>
            <w:r>
              <w:rPr>
                <w:rFonts w:ascii="Times New Roman" w:hAnsi="Times New Roman"/>
                <w:b w:val="0"/>
                <w:sz w:val="20"/>
              </w:rPr>
              <w:t>No new data or new analyses introduced</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section synthesises theory and does not introduce empirical data.</w:t>
            </w:r>
          </w:p>
        </w:tc>
      </w:tr>
      <w:tr>
        <w:trPr>
          <w:cantSplit/>
        </w:trPr>
        <w:tc>
          <w:tcPr>
            <w:tcW w:type="dxa" w:w="4896"/>
          </w:tcPr>
          <w:p>
            <w:r/>
            <w:r>
              <w:rPr>
                <w:rFonts w:ascii="Times New Roman" w:hAnsi="Times New Roman"/>
                <w:b w:val="0"/>
                <w:sz w:val="20"/>
              </w:rPr>
              <w:t>Theoretical or practical implications stated</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Implications for academic integrity governance are stated.</w:t>
            </w:r>
          </w:p>
        </w:tc>
      </w:tr>
    </w:tbl>
    <w:p/>
    <w:p>
      <w:pPr>
        <w:jc w:val="left"/>
      </w:pPr>
      <w:r>
        <w:rPr>
          <w:rFonts w:ascii="Times New Roman" w:hAnsi="Times New Roman"/>
          <w:b/>
          <w:sz w:val="24"/>
        </w:rPr>
        <w:t>Limitations</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r/>
            <w:r>
              <w:rPr>
                <w:rFonts w:ascii="Times New Roman" w:hAnsi="Times New Roman"/>
                <w:b/>
                <w:color w:val="FFFFFF"/>
                <w:sz w:val="20"/>
              </w:rPr>
              <w:t>Item</w:t>
            </w:r>
          </w:p>
        </w:tc>
        <w:tc>
          <w:tcPr>
            <w:tcW w:type="dxa" w:w="1152"/>
            <w:shd w:val="clear" w:color="auto" w:fill="FF7A00"/>
          </w:tcPr>
          <w:p>
            <w:r/>
            <w:r>
              <w:rPr>
                <w:rFonts w:ascii="Times New Roman" w:hAnsi="Times New Roman"/>
                <w:b/>
                <w:color w:val="FFFFFF"/>
                <w:sz w:val="20"/>
              </w:rPr>
              <w:t>Reported</w:t>
            </w:r>
          </w:p>
        </w:tc>
        <w:tc>
          <w:tcPr>
            <w:tcW w:type="dxa" w:w="3312"/>
            <w:shd w:val="clear" w:color="auto" w:fill="FF7A00"/>
          </w:tcPr>
          <w:p>
            <w:r/>
            <w:r>
              <w:rPr>
                <w:rFonts w:ascii="Times New Roman" w:hAnsi="Times New Roman"/>
                <w:b/>
                <w:color w:val="FFFFFF"/>
                <w:sz w:val="20"/>
              </w:rPr>
              <w:t>Note</w:t>
            </w:r>
          </w:p>
        </w:tc>
      </w:tr>
      <w:tr>
        <w:trPr>
          <w:cantSplit/>
        </w:trPr>
        <w:tc>
          <w:tcPr>
            <w:tcW w:type="dxa" w:w="4896"/>
          </w:tcPr>
          <w:p>
            <w:r/>
            <w:r>
              <w:rPr>
                <w:rFonts w:ascii="Times New Roman" w:hAnsi="Times New Roman"/>
                <w:b w:val="0"/>
                <w:sz w:val="20"/>
              </w:rPr>
              <w:t>Specific weaknesses named (not vague 'several limitations exist')</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Theoretical design, disciplinary skew, and date range are named.</w:t>
            </w:r>
          </w:p>
        </w:tc>
      </w:tr>
      <w:tr>
        <w:trPr>
          <w:cantSplit/>
        </w:trPr>
        <w:tc>
          <w:tcPr>
            <w:tcW w:type="dxa" w:w="4896"/>
          </w:tcPr>
          <w:p>
            <w:r/>
            <w:r>
              <w:rPr>
                <w:rFonts w:ascii="Times New Roman" w:hAnsi="Times New Roman"/>
                <w:b w:val="0"/>
                <w:sz w:val="20"/>
              </w:rPr>
              <w:t>Direction of bias indicated where it can be inferred (over- vs under-estimate)</w:t>
            </w:r>
          </w:p>
        </w:tc>
        <w:tc>
          <w:tcPr>
            <w:tcW w:type="dxa" w:w="1152"/>
            <w:shd w:val="clear" w:color="auto" w:fill="FEE2E2"/>
          </w:tcPr>
          <w:p>
            <w:r/>
            <w:r>
              <w:rPr>
                <w:rFonts w:ascii="Times New Roman" w:hAnsi="Times New Roman"/>
                <w:b/>
                <w:sz w:val="20"/>
              </w:rPr>
              <w:t>No</w:t>
            </w:r>
          </w:p>
        </w:tc>
        <w:tc>
          <w:tcPr>
            <w:tcW w:type="dxa" w:w="3312"/>
          </w:tcPr>
          <w:p>
            <w:r/>
            <w:r>
              <w:rPr>
                <w:rFonts w:ascii="Times New Roman" w:hAnsi="Times New Roman"/>
                <w:b w:val="0"/>
                <w:sz w:val="20"/>
              </w:rPr>
              <w:t>The section notes skew but does not state how it may bias conclusions.</w:t>
            </w:r>
          </w:p>
        </w:tc>
      </w:tr>
      <w:tr>
        <w:trPr>
          <w:cantSplit/>
        </w:trPr>
        <w:tc>
          <w:tcPr>
            <w:tcW w:type="dxa" w:w="4896"/>
          </w:tcPr>
          <w:p>
            <w:r/>
            <w:r>
              <w:rPr>
                <w:rFonts w:ascii="Times New Roman" w:hAnsi="Times New Roman"/>
                <w:b w:val="0"/>
                <w:sz w:val="20"/>
              </w:rPr>
              <w:t>Mitigation steps stated where they were applied</w:t>
            </w:r>
          </w:p>
        </w:tc>
        <w:tc>
          <w:tcPr>
            <w:tcW w:type="dxa" w:w="1152"/>
            <w:shd w:val="clear" w:color="auto" w:fill="FEE2E2"/>
          </w:tcPr>
          <w:p>
            <w:r/>
            <w:r>
              <w:rPr>
                <w:rFonts w:ascii="Times New Roman" w:hAnsi="Times New Roman"/>
                <w:b/>
                <w:sz w:val="20"/>
              </w:rPr>
              <w:t>No</w:t>
            </w:r>
          </w:p>
        </w:tc>
        <w:tc>
          <w:tcPr>
            <w:tcW w:type="dxa" w:w="3312"/>
          </w:tcPr>
          <w:p>
            <w:r/>
            <w:r>
              <w:rPr>
                <w:rFonts w:ascii="Times New Roman" w:hAnsi="Times New Roman"/>
                <w:b w:val="0"/>
                <w:sz w:val="20"/>
              </w:rPr>
              <w:t>No mitigation strategy for source selection or disciplinary skew is stated.</w:t>
            </w:r>
          </w:p>
        </w:tc>
      </w:tr>
      <w:tr>
        <w:trPr>
          <w:cantSplit/>
        </w:trPr>
        <w:tc>
          <w:tcPr>
            <w:tcW w:type="dxa" w:w="4896"/>
          </w:tcPr>
          <w:p>
            <w:r/>
            <w:r>
              <w:rPr>
                <w:rFonts w:ascii="Times New Roman" w:hAnsi="Times New Roman"/>
                <w:b w:val="0"/>
                <w:sz w:val="20"/>
              </w:rPr>
              <w:t>Limitations cover at least three of: study design, sample/population, measurement/data, analysis (or comparable categories for the work type)</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Comparable categories are covered: design, disciplinary range, and time range.</w:t>
            </w:r>
          </w:p>
        </w:tc>
      </w:tr>
    </w:tbl>
    <w:p/>
    <w:p>
      <w:pPr>
        <w:jc w:val="left"/>
      </w:pPr>
      <w:r>
        <w:rPr>
          <w:rFonts w:ascii="Times New Roman" w:hAnsi="Times New Roman"/>
          <w:b/>
          <w:sz w:val="24"/>
        </w:rPr>
        <w:t>Conclusion</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4896"/>
            <w:shd w:val="clear" w:color="auto" w:fill="FF7A00"/>
          </w:tcPr>
          <w:p>
            <w:r/>
            <w:r>
              <w:rPr>
                <w:rFonts w:ascii="Times New Roman" w:hAnsi="Times New Roman"/>
                <w:b/>
                <w:color w:val="FFFFFF"/>
                <w:sz w:val="20"/>
              </w:rPr>
              <w:t>Item</w:t>
            </w:r>
          </w:p>
        </w:tc>
        <w:tc>
          <w:tcPr>
            <w:tcW w:type="dxa" w:w="1152"/>
            <w:shd w:val="clear" w:color="auto" w:fill="FF7A00"/>
          </w:tcPr>
          <w:p>
            <w:r/>
            <w:r>
              <w:rPr>
                <w:rFonts w:ascii="Times New Roman" w:hAnsi="Times New Roman"/>
                <w:b/>
                <w:color w:val="FFFFFF"/>
                <w:sz w:val="20"/>
              </w:rPr>
              <w:t>Reported</w:t>
            </w:r>
          </w:p>
        </w:tc>
        <w:tc>
          <w:tcPr>
            <w:tcW w:type="dxa" w:w="3312"/>
            <w:shd w:val="clear" w:color="auto" w:fill="FF7A00"/>
          </w:tcPr>
          <w:p>
            <w:r/>
            <w:r>
              <w:rPr>
                <w:rFonts w:ascii="Times New Roman" w:hAnsi="Times New Roman"/>
                <w:b/>
                <w:color w:val="FFFFFF"/>
                <w:sz w:val="20"/>
              </w:rPr>
              <w:t>Note</w:t>
            </w:r>
          </w:p>
        </w:tc>
      </w:tr>
      <w:tr>
        <w:trPr>
          <w:cantSplit/>
        </w:trPr>
        <w:tc>
          <w:tcPr>
            <w:tcW w:type="dxa" w:w="4896"/>
          </w:tcPr>
          <w:p>
            <w:r/>
            <w:r>
              <w:rPr>
                <w:rFonts w:ascii="Times New Roman" w:hAnsi="Times New Roman"/>
                <w:b w:val="0"/>
                <w:sz w:val="20"/>
              </w:rPr>
              <w:t>Directly answers the introduction's research aim</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summary returns to competing frameworks and the continuum model.</w:t>
            </w:r>
          </w:p>
        </w:tc>
      </w:tr>
      <w:tr>
        <w:trPr>
          <w:cantSplit/>
        </w:trPr>
        <w:tc>
          <w:tcPr>
            <w:tcW w:type="dxa" w:w="4896"/>
          </w:tcPr>
          <w:p>
            <w:r/>
            <w:r>
              <w:rPr>
                <w:rFonts w:ascii="Times New Roman" w:hAnsi="Times New Roman"/>
                <w:b w:val="0"/>
                <w:sz w:val="20"/>
              </w:rPr>
              <w:t>Single core message stated, not a recap of the whole paper</w:t>
            </w:r>
          </w:p>
        </w:tc>
        <w:tc>
          <w:tcPr>
            <w:tcW w:type="dxa" w:w="1152"/>
            <w:shd w:val="clear" w:color="auto" w:fill="DCFCE7"/>
          </w:tcPr>
          <w:p>
            <w:r/>
            <w:r>
              <w:rPr>
                <w:rFonts w:ascii="Times New Roman" w:hAnsi="Times New Roman"/>
                <w:b/>
                <w:sz w:val="20"/>
              </w:rPr>
              <w:t>Yes</w:t>
            </w:r>
          </w:p>
        </w:tc>
        <w:tc>
          <w:tcPr>
            <w:tcW w:type="dxa" w:w="3312"/>
          </w:tcPr>
          <w:p>
            <w:r/>
            <w:r>
              <w:rPr>
                <w:rFonts w:ascii="Times New Roman" w:hAnsi="Times New Roman"/>
                <w:b w:val="0"/>
                <w:sz w:val="20"/>
              </w:rPr>
              <w:t>The core message is clear, though the recap subsection is relatively detailed.</w:t>
            </w:r>
          </w:p>
        </w:tc>
      </w:tr>
      <w:tr>
        <w:trPr>
          <w:cantSplit/>
        </w:trPr>
        <w:tc>
          <w:tcPr>
            <w:tcW w:type="dxa" w:w="4896"/>
          </w:tcPr>
          <w:p>
            <w:r/>
            <w:r>
              <w:rPr>
                <w:rFonts w:ascii="Times New Roman" w:hAnsi="Times New Roman"/>
                <w:b w:val="0"/>
                <w:sz w:val="20"/>
              </w:rPr>
              <w:t>No new data or new citations introduced</w:t>
            </w:r>
          </w:p>
        </w:tc>
        <w:tc>
          <w:tcPr>
            <w:tcW w:type="dxa" w:w="1152"/>
            <w:shd w:val="clear" w:color="auto" w:fill="FEE2E2"/>
          </w:tcPr>
          <w:p>
            <w:r/>
            <w:r>
              <w:rPr>
                <w:rFonts w:ascii="Times New Roman" w:hAnsi="Times New Roman"/>
                <w:b/>
                <w:sz w:val="20"/>
              </w:rPr>
              <w:t>No</w:t>
            </w:r>
          </w:p>
        </w:tc>
        <w:tc>
          <w:tcPr>
            <w:tcW w:type="dxa" w:w="3312"/>
          </w:tcPr>
          <w:p>
            <w:r/>
            <w:r>
              <w:rPr>
                <w:rFonts w:ascii="Times New Roman" w:hAnsi="Times New Roman"/>
                <w:b w:val="0"/>
                <w:sz w:val="20"/>
              </w:rPr>
              <w:t>—</w:t>
            </w:r>
          </w:p>
        </w:tc>
      </w:tr>
    </w:tbl>
    <w:p/>
    <w:p/>
    <w:p>
      <w:pPr>
        <w:jc w:val="left"/>
      </w:pPr>
      <w:r>
        <w:rPr>
          <w:rFonts w:ascii="Times New Roman" w:hAnsi="Times New Roman"/>
          <w:b/>
          <w:sz w:val="28"/>
        </w:rPr>
        <w:t>Predicted review</w:t>
      </w:r>
    </w:p>
    <w:p>
      <w:pPr>
        <w:jc w:val="left"/>
      </w:pPr>
      <w:r>
        <w:rPr>
          <w:rFonts w:ascii="Times New Roman" w:hAnsi="Times New Roman"/>
          <w:b w:val="0"/>
          <w:color w:val="6B7280"/>
          <w:sz w:val="20"/>
        </w:rPr>
        <w:t>Calibrated estimate of how three reader personas might respond. Read this as feedback on where each kind of reader would push hardest, not as a hard verdict.</w:t>
      </w:r>
    </w:p>
    <w:p>
      <w:pPr>
        <w:jc w:val="left"/>
      </w:pPr>
      <w:r>
        <w:rPr>
          <w:rFonts w:ascii="Times New Roman" w:hAnsi="Times New Roman"/>
          <w:b/>
          <w:sz w:val="22"/>
        </w:rPr>
        <w:t>Estimated acceptance likelihood: 74/100 · Expected revision: Major</w:t>
      </w:r>
    </w:p>
    <w:tbl>
      <w:tblPr>
        <w:tblStyle w:val="TableGrid"/>
        <w:tblW w:type="auto" w:w="0"/>
        <w:jc w:val="center"/>
        <w:tblLook w:firstColumn="1" w:firstRow="1" w:lastColumn="0" w:lastRow="0" w:noHBand="0" w:noVBand="1" w:val="04A0"/>
      </w:tblPr>
      <w:tblGrid>
        <w:gridCol w:w="2880"/>
        <w:gridCol w:w="2880"/>
        <w:gridCol w:w="2880"/>
      </w:tblGrid>
      <w:tr>
        <w:trPr>
          <w:tblHeader/>
          <w:cantSplit/>
        </w:trPr>
        <w:tc>
          <w:tcPr>
            <w:tcW w:type="dxa" w:w="2880"/>
            <w:shd w:val="clear" w:color="auto" w:fill="FF7A00"/>
          </w:tcPr>
          <w:p>
            <w:r/>
            <w:r>
              <w:rPr>
                <w:rFonts w:ascii="Times New Roman" w:hAnsi="Times New Roman"/>
                <w:b/>
                <w:color w:val="FFFFFF"/>
                <w:sz w:val="20"/>
              </w:rPr>
              <w:t>Reader</w:t>
            </w:r>
          </w:p>
        </w:tc>
        <w:tc>
          <w:tcPr>
            <w:tcW w:type="dxa" w:w="2160"/>
            <w:shd w:val="clear" w:color="auto" w:fill="FF7A00"/>
          </w:tcPr>
          <w:p>
            <w:r/>
            <w:r>
              <w:rPr>
                <w:rFonts w:ascii="Times New Roman" w:hAnsi="Times New Roman"/>
                <w:b/>
                <w:color w:val="FFFFFF"/>
                <w:sz w:val="20"/>
              </w:rPr>
              <w:t>Predicted verdict</w:t>
            </w:r>
          </w:p>
        </w:tc>
        <w:tc>
          <w:tcPr>
            <w:tcW w:type="dxa" w:w="4320"/>
            <w:shd w:val="clear" w:color="auto" w:fill="FF7A00"/>
          </w:tcPr>
          <w:p>
            <w:r/>
            <w:r>
              <w:rPr>
                <w:rFonts w:ascii="Times New Roman" w:hAnsi="Times New Roman"/>
                <w:b/>
                <w:color w:val="FFFFFF"/>
                <w:sz w:val="20"/>
              </w:rPr>
              <w:t>Key concern</w:t>
            </w:r>
          </w:p>
        </w:tc>
      </w:tr>
      <w:tr>
        <w:trPr>
          <w:cantSplit/>
        </w:trPr>
        <w:tc>
          <w:tcPr>
            <w:tcW w:type="dxa" w:w="2880"/>
          </w:tcPr>
          <w:p>
            <w:r/>
            <w:r>
              <w:rPr>
                <w:rFonts w:ascii="Times New Roman" w:hAnsi="Times New Roman"/>
                <w:b/>
                <w:sz w:val="20"/>
              </w:rPr>
              <w:t>Supervisor</w:t>
            </w:r>
          </w:p>
          <w:p>
            <w:r>
              <w:rPr>
                <w:rFonts w:ascii="Times New Roman" w:hAnsi="Times New Roman"/>
                <w:color w:val="6B7280"/>
                <w:sz w:val="18"/>
              </w:rPr>
              <w:t>Reads for structural quality, faithfulness to the agreed scope, and academic register.</w:t>
            </w:r>
          </w:p>
        </w:tc>
        <w:tc>
          <w:tcPr>
            <w:tcW w:type="dxa" w:w="2160"/>
            <w:shd w:val="clear" w:color="auto" w:fill="FEF3C7"/>
          </w:tcPr>
          <w:p>
            <w:r/>
            <w:r>
              <w:rPr>
                <w:rFonts w:ascii="Times New Roman" w:hAnsi="Times New Roman"/>
                <w:b/>
                <w:sz w:val="20"/>
              </w:rPr>
              <w:t>Light revisions recommended</w:t>
            </w:r>
          </w:p>
        </w:tc>
        <w:tc>
          <w:tcPr>
            <w:tcW w:type="dxa" w:w="4320"/>
          </w:tcPr>
          <w:p>
            <w:r/>
            <w:r>
              <w:rPr>
                <w:rFonts w:ascii="Times New Roman" w:hAnsi="Times New Roman"/>
                <w:b w:val="0"/>
                <w:sz w:val="20"/>
              </w:rPr>
              <w:t>The structure and thesis are strong, but the paper is more conceptually advanced than typical BA work and needs clearer explanatory scaffolding.</w:t>
            </w:r>
          </w:p>
        </w:tc>
      </w:tr>
      <w:tr>
        <w:trPr>
          <w:cantSplit/>
        </w:trPr>
        <w:tc>
          <w:tcPr>
            <w:tcW w:type="dxa" w:w="2880"/>
          </w:tcPr>
          <w:p>
            <w:r/>
            <w:r>
              <w:rPr>
                <w:rFonts w:ascii="Times New Roman" w:hAnsi="Times New Roman"/>
                <w:b/>
                <w:sz w:val="20"/>
              </w:rPr>
              <w:t>External examiner</w:t>
            </w:r>
          </w:p>
          <w:p>
            <w:r>
              <w:rPr>
                <w:rFonts w:ascii="Times New Roman" w:hAnsi="Times New Roman"/>
                <w:color w:val="6B7280"/>
                <w:sz w:val="18"/>
              </w:rPr>
              <w:t>Reads cold for clarity of contribution, rigour of evidence, and defensibility of claims.</w:t>
            </w:r>
          </w:p>
        </w:tc>
        <w:tc>
          <w:tcPr>
            <w:tcW w:type="dxa" w:w="2160"/>
            <w:shd w:val="clear" w:color="auto" w:fill="FEE2E2"/>
          </w:tcPr>
          <w:p>
            <w:r/>
            <w:r>
              <w:rPr>
                <w:rFonts w:ascii="Times New Roman" w:hAnsi="Times New Roman"/>
                <w:b/>
                <w:sz w:val="20"/>
              </w:rPr>
              <w:t>Substantive revisions recommended</w:t>
            </w:r>
          </w:p>
        </w:tc>
        <w:tc>
          <w:tcPr>
            <w:tcW w:type="dxa" w:w="4320"/>
          </w:tcPr>
          <w:p>
            <w:r/>
            <w:r>
              <w:rPr>
                <w:rFonts w:ascii="Times New Roman" w:hAnsi="Times New Roman"/>
                <w:b w:val="0"/>
                <w:sz w:val="20"/>
              </w:rPr>
              <w:t>The literature review contains citation-integrity problems and unsupported theoretical claims that must be corrected before submission.</w:t>
            </w:r>
          </w:p>
        </w:tc>
      </w:tr>
      <w:tr>
        <w:trPr>
          <w:cantSplit/>
        </w:trPr>
        <w:tc>
          <w:tcPr>
            <w:tcW w:type="dxa" w:w="2880"/>
          </w:tcPr>
          <w:p>
            <w:r/>
            <w:r>
              <w:rPr>
                <w:rFonts w:ascii="Times New Roman" w:hAnsi="Times New Roman"/>
                <w:b/>
                <w:sz w:val="20"/>
              </w:rPr>
              <w:t>Domain peer</w:t>
            </w:r>
          </w:p>
          <w:p>
            <w:r>
              <w:rPr>
                <w:rFonts w:ascii="Times New Roman" w:hAnsi="Times New Roman"/>
                <w:color w:val="6B7280"/>
                <w:sz w:val="18"/>
              </w:rPr>
              <w:t>Reads for technical correctness and currency of cited literature.</w:t>
            </w:r>
          </w:p>
        </w:tc>
        <w:tc>
          <w:tcPr>
            <w:tcW w:type="dxa" w:w="2160"/>
            <w:shd w:val="clear" w:color="auto" w:fill="FEF3C7"/>
          </w:tcPr>
          <w:p>
            <w:r/>
            <w:r>
              <w:rPr>
                <w:rFonts w:ascii="Times New Roman" w:hAnsi="Times New Roman"/>
                <w:b/>
                <w:sz w:val="20"/>
              </w:rPr>
              <w:t>Light revisions recommended</w:t>
            </w:r>
          </w:p>
        </w:tc>
        <w:tc>
          <w:tcPr>
            <w:tcW w:type="dxa" w:w="4320"/>
          </w:tcPr>
          <w:p>
            <w:r/>
            <w:r>
              <w:rPr>
                <w:rFonts w:ascii="Times New Roman" w:hAnsi="Times New Roman"/>
                <w:b w:val="0"/>
                <w:sz w:val="20"/>
              </w:rPr>
              <w:t>The synthesis is interesting, but several plan-relevant sources on disclosure, originality, and delegation are not used directly enough.</w:t>
            </w:r>
          </w:p>
        </w:tc>
      </w:tr>
    </w:tbl>
    <w:p/>
    <w:p>
      <w:pPr>
        <w:jc w:val="left"/>
      </w:pPr>
      <w:r>
        <w:rPr>
          <w:rFonts w:ascii="Times New Roman" w:hAnsi="Times New Roman"/>
          <w:b/>
          <w:sz w:val="28"/>
        </w:rPr>
        <w:t>Requirements coverage</w:t>
      </w:r>
    </w:p>
    <w:p>
      <w:pPr>
        <w:jc w:val="left"/>
      </w:pPr>
      <w:r>
        <w:rPr>
          <w:rFonts w:ascii="Times New Roman" w:hAnsi="Times New Roman"/>
          <w:b w:val="0"/>
          <w:color w:val="6B7280"/>
          <w:sz w:val="20"/>
        </w:rPr>
        <w:t>How the delivered work measures against the requirements you set in the order form. Partially met / not met rows also appear in the fix-list below with what to do.</w:t>
      </w:r>
    </w:p>
    <w:tbl>
      <w:tblPr>
        <w:tblW w:type="auto" w:w="0"/>
        <w:jc w:val="center"/>
        <w:tblLook w:firstColumn="1" w:firstRow="1" w:lastColumn="0" w:lastRow="0" w:noHBand="0" w:noVBand="1" w:val="04A0"/>
      </w:tblPr>
      <w:tblGrid>
        <w:gridCol w:w="2880"/>
        <w:gridCol w:w="2880"/>
        <w:gridCol w:w="2880"/>
      </w:tblGrid>
      <w:tr>
        <w:trPr>
          <w:tblHeader/>
          <w:cantSplit/>
        </w:trPr>
        <w:tc>
          <w:tcPr>
            <w:tcW w:type="dxa" w:w="2880"/>
            <w:shd w:val="clear" w:color="auto" w:fill="FF7A00"/>
          </w:tcPr>
          <w:p>
            <w:r/>
            <w:r>
              <w:rPr>
                <w:rFonts w:ascii="Times New Roman" w:hAnsi="Times New Roman"/>
                <w:b/>
                <w:sz w:val="20"/>
              </w:rPr>
              <w:t>Requirement</w:t>
            </w:r>
          </w:p>
        </w:tc>
        <w:tc>
          <w:tcPr>
            <w:tcW w:type="dxa" w:w="2880"/>
            <w:shd w:val="clear" w:color="auto" w:fill="FF7A00"/>
          </w:tcPr>
          <w:p>
            <w:r/>
            <w:r>
              <w:rPr>
                <w:rFonts w:ascii="Times New Roman" w:hAnsi="Times New Roman"/>
                <w:b/>
                <w:sz w:val="20"/>
              </w:rPr>
              <w:t>Delivered</w:t>
            </w:r>
          </w:p>
        </w:tc>
        <w:tc>
          <w:tcPr>
            <w:tcW w:type="dxa" w:w="2880"/>
            <w:shd w:val="clear" w:color="auto" w:fill="FF7A00"/>
          </w:tcPr>
          <w:p>
            <w:r/>
            <w:r>
              <w:rPr>
                <w:rFonts w:ascii="Times New Roman" w:hAnsi="Times New Roman"/>
                <w:b/>
                <w:sz w:val="20"/>
              </w:rPr>
              <w:t>Status</w:t>
            </w:r>
          </w:p>
        </w:tc>
      </w:tr>
      <w:tr>
        <w:trPr>
          <w:cantSplit/>
        </w:trPr>
        <w:tc>
          <w:tcPr>
            <w:tcW w:type="dxa" w:w="2880"/>
          </w:tcPr>
          <w:p>
            <w:r/>
            <w:r>
              <w:rPr>
                <w:rFonts w:ascii="Times New Roman" w:hAnsi="Times New Roman"/>
                <w:b w:val="0"/>
                <w:sz w:val="20"/>
              </w:rPr>
              <w:t>Number of sources</w:t>
            </w:r>
          </w:p>
        </w:tc>
        <w:tc>
          <w:tcPr>
            <w:tcW w:type="dxa" w:w="2880"/>
          </w:tcPr>
          <w:p>
            <w:r/>
            <w:r>
              <w:rPr>
                <w:rFonts w:ascii="Times New Roman" w:hAnsi="Times New Roman"/>
                <w:b w:val="0"/>
                <w:sz w:val="20"/>
              </w:rPr>
              <w:t>13 / 15</w:t>
            </w:r>
          </w:p>
        </w:tc>
        <w:tc>
          <w:tcPr>
            <w:tcW w:type="dxa" w:w="2880"/>
            <w:shd w:val="clear" w:color="auto" w:fill="FEE2E2"/>
          </w:tcPr>
          <w:p>
            <w:r/>
            <w:r>
              <w:rPr>
                <w:rFonts w:ascii="Times New Roman" w:hAnsi="Times New Roman"/>
                <w:b/>
                <w:sz w:val="20"/>
              </w:rPr>
              <w:t>Not met</w:t>
            </w:r>
          </w:p>
        </w:tc>
      </w:tr>
      <w:tr>
        <w:trPr>
          <w:cantSplit/>
        </w:trPr>
        <w:tc>
          <w:tcPr>
            <w:tcW w:type="dxa" w:w="2880"/>
          </w:tcPr>
          <w:p>
            <w:r/>
            <w:r>
              <w:rPr>
                <w:rFonts w:ascii="Times New Roman" w:hAnsi="Times New Roman"/>
                <w:b w:val="0"/>
                <w:sz w:val="20"/>
              </w:rPr>
              <w:t>Publication year range</w:t>
            </w:r>
          </w:p>
        </w:tc>
        <w:tc>
          <w:tcPr>
            <w:tcW w:type="dxa" w:w="2880"/>
          </w:tcPr>
          <w:p>
            <w:r/>
            <w:r>
              <w:rPr>
                <w:rFonts w:ascii="Times New Roman" w:hAnsi="Times New Roman"/>
                <w:b w:val="0"/>
                <w:sz w:val="20"/>
              </w:rPr>
              <w:t>✓ Met</w:t>
            </w:r>
          </w:p>
        </w:tc>
        <w:tc>
          <w:tcPr>
            <w:tcW w:type="dxa" w:w="2880"/>
            <w:shd w:val="clear" w:color="auto" w:fill="DCFCE7"/>
          </w:tcPr>
          <w:p>
            <w:r/>
            <w:r>
              <w:rPr>
                <w:rFonts w:ascii="Times New Roman" w:hAnsi="Times New Roman"/>
                <w:b/>
                <w:sz w:val="20"/>
              </w:rPr>
              <w:t>Met</w:t>
            </w:r>
          </w:p>
        </w:tc>
      </w:tr>
      <w:tr>
        <w:trPr>
          <w:cantSplit/>
        </w:trPr>
        <w:tc>
          <w:tcPr>
            <w:tcW w:type="dxa" w:w="2880"/>
          </w:tcPr>
          <w:p>
            <w:r/>
            <w:r>
              <w:rPr>
                <w:rFonts w:ascii="Times New Roman" w:hAnsi="Times New Roman"/>
                <w:b w:val="0"/>
                <w:sz w:val="20"/>
              </w:rPr>
              <w:t>Allowed source types</w:t>
            </w:r>
          </w:p>
        </w:tc>
        <w:tc>
          <w:tcPr>
            <w:tcW w:type="dxa" w:w="2880"/>
          </w:tcPr>
          <w:p>
            <w:r/>
            <w:r>
              <w:rPr>
                <w:rFonts w:ascii="Times New Roman" w:hAnsi="Times New Roman"/>
                <w:b w:val="0"/>
                <w:sz w:val="20"/>
              </w:rPr>
              <w:t>✓ Met</w:t>
            </w:r>
          </w:p>
        </w:tc>
        <w:tc>
          <w:tcPr>
            <w:tcW w:type="dxa" w:w="2880"/>
            <w:shd w:val="clear" w:color="auto" w:fill="DCFCE7"/>
          </w:tcPr>
          <w:p>
            <w:r/>
            <w:r>
              <w:rPr>
                <w:rFonts w:ascii="Times New Roman" w:hAnsi="Times New Roman"/>
                <w:b/>
                <w:sz w:val="20"/>
              </w:rPr>
              <w:t>Met</w:t>
            </w:r>
          </w:p>
        </w:tc>
      </w:tr>
    </w:tbl>
    <w:p/>
    <w:p>
      <w:pPr>
        <w:jc w:val="left"/>
      </w:pPr>
      <w:r>
        <w:rPr>
          <w:rFonts w:ascii="Times New Roman" w:hAnsi="Times New Roman"/>
          <w:b/>
          <w:sz w:val="28"/>
        </w:rPr>
        <w:t>How to finish the work</w:t>
      </w:r>
    </w:p>
    <w:p>
      <w:pPr>
        <w:jc w:val="left"/>
      </w:pPr>
      <w:r>
        <w:rPr>
          <w:rFonts w:ascii="Times New Roman" w:hAnsi="Times New Roman"/>
          <w:b w:val="0"/>
          <w:color w:val="6B7280"/>
          <w:sz w:val="20"/>
        </w:rPr>
        <w:t>These are the highest-priority items the automated revision could not fully resolve — the ones we'd tackle first if we had more iterations. They are NOT the only findings: the per-section table earlier in this report lists every issue the review flagged. Once you address the items below, most remaining findings tend to shrink or resolve themselves. Each item names where to look, what is missing, and a concrete instruction. The text is in the paper's language so you can paste new content directly.</w:t>
      </w:r>
    </w:p>
    <w:tbl>
      <w:tblPr>
        <w:tblW w:type="auto" w:w="0"/>
        <w:jc w:val="center"/>
        <w:tblLook w:firstColumn="1" w:firstRow="1" w:lastColumn="0" w:lastRow="0" w:noHBand="0" w:noVBand="1" w:val="04A0"/>
      </w:tblPr>
      <w:tblGrid>
        <w:gridCol w:w="1440"/>
        <w:gridCol w:w="1440"/>
        <w:gridCol w:w="1440"/>
        <w:gridCol w:w="1440"/>
        <w:gridCol w:w="1440"/>
        <w:gridCol w:w="1440"/>
      </w:tblGrid>
      <w:tr>
        <w:trPr>
          <w:tblHeader/>
          <w:cantSplit/>
        </w:trPr>
        <w:tc>
          <w:tcPr>
            <w:tcW w:type="dxa" w:w="1440"/>
            <w:shd w:val="clear" w:color="auto" w:fill="FF7A00"/>
          </w:tcPr>
          <w:p>
            <w:r/>
            <w:r>
              <w:rPr>
                <w:rFonts w:ascii="Times New Roman" w:hAnsi="Times New Roman"/>
                <w:b/>
                <w:sz w:val="20"/>
              </w:rPr>
              <w:t>Priority</w:t>
            </w:r>
          </w:p>
        </w:tc>
        <w:tc>
          <w:tcPr>
            <w:tcW w:type="dxa" w:w="1440"/>
            <w:shd w:val="clear" w:color="auto" w:fill="FF7A00"/>
          </w:tcPr>
          <w:p>
            <w:r/>
            <w:r>
              <w:rPr>
                <w:rFonts w:ascii="Times New Roman" w:hAnsi="Times New Roman"/>
                <w:b/>
                <w:sz w:val="20"/>
              </w:rPr>
              <w:t>Where</w:t>
            </w:r>
          </w:p>
        </w:tc>
        <w:tc>
          <w:tcPr>
            <w:tcW w:type="dxa" w:w="1440"/>
            <w:shd w:val="clear" w:color="auto" w:fill="FF7A00"/>
          </w:tcPr>
          <w:p>
            <w:r/>
            <w:r>
              <w:rPr>
                <w:rFonts w:ascii="Times New Roman" w:hAnsi="Times New Roman"/>
                <w:b/>
                <w:sz w:val="20"/>
              </w:rPr>
              <w:t>What is missing</w:t>
            </w:r>
          </w:p>
        </w:tc>
        <w:tc>
          <w:tcPr>
            <w:tcW w:type="dxa" w:w="1440"/>
            <w:shd w:val="clear" w:color="auto" w:fill="FF7A00"/>
          </w:tcPr>
          <w:p>
            <w:r/>
            <w:r>
              <w:rPr>
                <w:rFonts w:ascii="Times New Roman" w:hAnsi="Times New Roman"/>
                <w:b/>
                <w:sz w:val="20"/>
              </w:rPr>
              <w:t>How to fix</w:t>
            </w:r>
          </w:p>
        </w:tc>
        <w:tc>
          <w:tcPr>
            <w:tcW w:type="dxa" w:w="1440"/>
            <w:shd w:val="clear" w:color="auto" w:fill="FF7A00"/>
          </w:tcPr>
          <w:p>
            <w:r/>
            <w:r>
              <w:rPr>
                <w:rFonts w:ascii="Times New Roman" w:hAnsi="Times New Roman"/>
                <w:b/>
                <w:sz w:val="20"/>
              </w:rPr>
              <w:t>Search hint</w:t>
            </w:r>
          </w:p>
        </w:tc>
        <w:tc>
          <w:tcPr>
            <w:tcW w:type="dxa" w:w="1440"/>
            <w:shd w:val="clear" w:color="auto" w:fill="FF7A00"/>
          </w:tcPr>
          <w:p>
            <w:r/>
            <w:r>
              <w:rPr>
                <w:rFonts w:ascii="Times New Roman" w:hAnsi="Times New Roman"/>
                <w:b/>
                <w:sz w:val="20"/>
              </w:rPr>
              <w:t>Estimated time</w:t>
            </w:r>
          </w:p>
        </w:tc>
      </w:tr>
      <w:tr>
        <w:trPr>
          <w:cantSplit/>
        </w:trPr>
        <w:tc>
          <w:tcPr>
            <w:tcW w:type="dxa" w:w="1440"/>
            <w:shd w:val="clear" w:color="auto" w:fill="FEF3C7"/>
          </w:tcPr>
          <w:p>
            <w:r/>
            <w:r>
              <w:rPr>
                <w:rFonts w:ascii="Times New Roman" w:hAnsi="Times New Roman"/>
                <w:b/>
                <w:sz w:val="20"/>
              </w:rPr>
              <w:t>Medium</w:t>
            </w:r>
          </w:p>
        </w:tc>
        <w:tc>
          <w:tcPr>
            <w:tcW w:type="dxa" w:w="1440"/>
          </w:tcPr>
          <w:p>
            <w:r/>
            <w:r>
              <w:rPr>
                <w:rFonts w:ascii="Times New Roman" w:hAnsi="Times New Roman"/>
                <w:b w:val="0"/>
                <w:sz w:val="20"/>
              </w:rPr>
              <w:t>Introduction and Discussion</w:t>
            </w:r>
          </w:p>
        </w:tc>
        <w:tc>
          <w:tcPr>
            <w:tcW w:type="dxa" w:w="1440"/>
          </w:tcPr>
          <w:p>
            <w:r/>
            <w:r>
              <w:rPr>
                <w:rFonts w:ascii="Times New Roman" w:hAnsi="Times New Roman"/>
                <w:b w:val="0"/>
                <w:sz w:val="20"/>
              </w:rPr>
              <w:t>The writing is stronger than required for BA level but sometimes becomes too abstract for a descriptive undergraduate paper.</w:t>
            </w:r>
          </w:p>
        </w:tc>
        <w:tc>
          <w:tcPr>
            <w:tcW w:type="dxa" w:w="1440"/>
          </w:tcPr>
          <w:p>
            <w:r/>
            <w:r>
              <w:rPr>
                <w:rFonts w:ascii="Times New Roman" w:hAnsi="Times New Roman"/>
                <w:b w:val="0"/>
                <w:sz w:val="20"/>
              </w:rPr>
              <w:t>Define key terms such as “author-function”, “epistemic agency”, “assemblage”, and “delegation continuum” in plain language before analysing them. Add short examples of AI-assisted academic writing after dense theoretical claims.</w:t>
            </w:r>
          </w:p>
        </w:tc>
        <w:tc>
          <w:tcPr>
            <w:tcW w:type="dxa" w:w="1440"/>
          </w:tcPr>
          <w:p>
            <w:r/>
            <w:r>
              <w:rPr>
                <w:rFonts w:ascii="Times New Roman" w:hAnsi="Times New Roman"/>
                <w:b w:val="0"/>
                <w:sz w:val="20"/>
              </w:rPr>
              <w:t>—</w:t>
            </w:r>
          </w:p>
        </w:tc>
        <w:tc>
          <w:tcPr>
            <w:tcW w:type="dxa" w:w="1440"/>
          </w:tcPr>
          <w:p>
            <w:r/>
            <w:r>
              <w:rPr>
                <w:rFonts w:ascii="Times New Roman" w:hAnsi="Times New Roman"/>
                <w:b w:val="0"/>
                <w:sz w:val="20"/>
              </w:rPr>
              <w:t>45 min</w:t>
            </w:r>
          </w:p>
        </w:tc>
      </w:tr>
      <w:tr>
        <w:trPr>
          <w:cantSplit/>
        </w:trPr>
        <w:tc>
          <w:tcPr>
            <w:tcW w:type="dxa" w:w="1440"/>
            <w:shd w:val="clear" w:color="auto" w:fill="FEF3C7"/>
          </w:tcPr>
          <w:p>
            <w:r/>
            <w:r>
              <w:rPr>
                <w:rFonts w:ascii="Times New Roman" w:hAnsi="Times New Roman"/>
                <w:b/>
                <w:sz w:val="20"/>
              </w:rPr>
              <w:t>Medium</w:t>
            </w:r>
          </w:p>
        </w:tc>
        <w:tc>
          <w:tcPr>
            <w:tcW w:type="dxa" w:w="1440"/>
          </w:tcPr>
          <w:p>
            <w:r/>
            <w:r>
              <w:rPr>
                <w:rFonts w:ascii="Times New Roman" w:hAnsi="Times New Roman"/>
                <w:b w:val="0"/>
                <w:sz w:val="20"/>
              </w:rPr>
              <w:t>Limitations</w:t>
            </w:r>
          </w:p>
        </w:tc>
        <w:tc>
          <w:tcPr>
            <w:tcW w:type="dxa" w:w="1440"/>
          </w:tcPr>
          <w:p>
            <w:r/>
            <w:r>
              <w:rPr>
                <w:rFonts w:ascii="Times New Roman" w:hAnsi="Times New Roman"/>
                <w:b w:val="0"/>
                <w:sz w:val="20"/>
              </w:rPr>
              <w:t>The limitations name weaknesses but do not state mitigation steps or the likely direction of bias.</w:t>
            </w:r>
          </w:p>
        </w:tc>
        <w:tc>
          <w:tcPr>
            <w:tcW w:type="dxa" w:w="1440"/>
          </w:tcPr>
          <w:p>
            <w:r/>
            <w:r>
              <w:rPr>
                <w:rFonts w:ascii="Times New Roman" w:hAnsi="Times New Roman"/>
                <w:b w:val="0"/>
                <w:sz w:val="20"/>
              </w:rPr>
              <w:t>Add one sentence explaining how the Western/theoretical source base may bias the synthesis, and one sentence stating what was done to reduce that limitation, such as using interdisciplinary sources within the allowed corpus.</w:t>
            </w:r>
          </w:p>
        </w:tc>
        <w:tc>
          <w:tcPr>
            <w:tcW w:type="dxa" w:w="1440"/>
          </w:tcPr>
          <w:p>
            <w:r/>
            <w:r>
              <w:rPr>
                <w:rFonts w:ascii="Times New Roman" w:hAnsi="Times New Roman"/>
                <w:b w:val="0"/>
                <w:sz w:val="20"/>
              </w:rPr>
              <w:t>—</w:t>
            </w:r>
          </w:p>
        </w:tc>
        <w:tc>
          <w:tcPr>
            <w:tcW w:type="dxa" w:w="1440"/>
          </w:tcPr>
          <w:p>
            <w:r/>
            <w:r>
              <w:rPr>
                <w:rFonts w:ascii="Times New Roman" w:hAnsi="Times New Roman"/>
                <w:b w:val="0"/>
                <w:sz w:val="20"/>
              </w:rPr>
              <w:t>30 min</w:t>
            </w:r>
          </w:p>
        </w:tc>
      </w:tr>
      <w:tr>
        <w:trPr>
          <w:cantSplit/>
        </w:trPr>
        <w:tc>
          <w:tcPr>
            <w:tcW w:type="dxa" w:w="1440"/>
            <w:shd w:val="clear" w:color="auto" w:fill="FEE2E2"/>
          </w:tcPr>
          <w:p>
            <w:r/>
            <w:r>
              <w:rPr>
                <w:rFonts w:ascii="Times New Roman" w:hAnsi="Times New Roman"/>
                <w:b/>
                <w:sz w:val="20"/>
              </w:rPr>
              <w:t>High</w:t>
            </w:r>
          </w:p>
        </w:tc>
        <w:tc>
          <w:tcPr>
            <w:tcW w:type="dxa" w:w="1440"/>
          </w:tcPr>
          <w:p>
            <w:r/>
            <w:r>
              <w:rPr>
                <w:rFonts w:ascii="Times New Roman" w:hAnsi="Times New Roman"/>
                <w:b w:val="0"/>
                <w:sz w:val="20"/>
              </w:rPr>
              <w:t>Order requirements</w:t>
            </w:r>
          </w:p>
        </w:tc>
        <w:tc>
          <w:tcPr>
            <w:tcW w:type="dxa" w:w="1440"/>
          </w:tcPr>
          <w:p>
            <w:r/>
            <w:r>
              <w:rPr>
                <w:rFonts w:ascii="Times New Roman" w:hAnsi="Times New Roman"/>
                <w:b w:val="0"/>
                <w:sz w:val="20"/>
              </w:rPr>
              <w:t>13 of 15 requested sources are cited in the paper. Fewer sources than requested were woven into the text; the verified source pool holds more that can be cited where genuinely relevant.</w:t>
            </w:r>
          </w:p>
        </w:tc>
        <w:tc>
          <w:tcPr>
            <w:tcW w:type="dxa" w:w="1440"/>
          </w:tcPr>
          <w:p>
            <w:r/>
            <w:r>
              <w:rPr>
                <w:rFonts w:ascii="Times New Roman" w:hAnsi="Times New Roman"/>
                <w:b w:val="0"/>
                <w:sz w:val="20"/>
              </w:rPr>
              <w:t>Cite at least 2 more of the verified sources in the body, or add sources, to reach the requested count.</w:t>
            </w:r>
          </w:p>
        </w:tc>
        <w:tc>
          <w:tcPr>
            <w:tcW w:type="dxa" w:w="1440"/>
          </w:tcPr>
          <w:p>
            <w:r/>
            <w:r>
              <w:rPr>
                <w:rFonts w:ascii="Times New Roman" w:hAnsi="Times New Roman"/>
                <w:b w:val="0"/>
                <w:sz w:val="20"/>
              </w:rPr>
              <w:t>—</w:t>
            </w:r>
          </w:p>
        </w:tc>
        <w:tc>
          <w:tcPr>
            <w:tcW w:type="dxa" w:w="1440"/>
          </w:tcPr>
          <w:p>
            <w:r/>
            <w:r>
              <w:rPr>
                <w:rFonts w:ascii="Times New Roman" w:hAnsi="Times New Roman"/>
                <w:b w:val="0"/>
                <w:sz w:val="20"/>
              </w:rPr>
              <w:t>30 min</w:t>
            </w:r>
          </w:p>
        </w:tc>
      </w:tr>
    </w:tbl>
    <w:p/>
    <w:p>
      <w:pPr>
        <w:pStyle w:val="Heading1"/>
        <w:pBdr>
          <w:bottom w:val="single" w:sz="18" w:space="4" w:color="E06D00"/>
        </w:pBdr>
      </w:pPr>
      <w:r>
        <w:t>Before You Submit</w:t>
      </w:r>
    </w:p>
    <w:p>
      <w:pPr>
        <w:jc w:val="left"/>
      </w:pPr>
      <w:r>
        <w:rPr>
          <w:rFonts w:ascii="Times New Roman" w:hAnsi="Times New Roman"/>
          <w:b w:val="0"/>
          <w:sz w:val="22"/>
        </w:rPr>
        <w:t>A short checklist to finish the work to a submission-ready standard:</w:t>
      </w:r>
    </w:p>
    <w:p>
      <w:pPr>
        <w:jc w:val="left"/>
      </w:pPr>
      <w:r>
        <w:rPr>
          <w:rFonts w:ascii="Times New Roman" w:hAnsi="Times New Roman"/>
          <w:b w:val="0"/>
          <w:sz w:val="22"/>
        </w:rPr>
        <w:t>1. Review every in-text citation and confirm the source supports the claim beside it.</w:t>
      </w:r>
    </w:p>
    <w:p>
      <w:pPr>
        <w:jc w:val="left"/>
      </w:pPr>
      <w:r>
        <w:rPr>
          <w:rFonts w:ascii="Times New Roman" w:hAnsi="Times New Roman"/>
          <w:b w:val="0"/>
          <w:sz w:val="22"/>
        </w:rPr>
        <w:t>2. Address the higher-priority items in the quality review above.</w:t>
      </w:r>
    </w:p>
    <w:p>
      <w:pPr>
        <w:jc w:val="left"/>
      </w:pPr>
      <w:r>
        <w:rPr>
          <w:rFonts w:ascii="Times New Roman" w:hAnsi="Times New Roman"/>
          <w:b w:val="0"/>
          <w:sz w:val="22"/>
        </w:rPr>
        <w:t>3. Replace or strengthen any source flagged for review in the audit.</w:t>
      </w:r>
    </w:p>
    <w:p>
      <w:pPr>
        <w:jc w:val="left"/>
      </w:pPr>
      <w:r>
        <w:rPr>
          <w:rFonts w:ascii="Times New Roman" w:hAnsi="Times New Roman"/>
          <w:b w:val="0"/>
          <w:sz w:val="22"/>
        </w:rPr>
        <w:t>4. Read the most relevant sources yourself so you can defend the argument.</w:t>
      </w:r>
    </w:p>
    <w:p/>
    <w:p>
      <w:pPr>
        <w:jc w:val="left"/>
      </w:pPr>
      <w:r>
        <w:rPr>
          <w:rFonts w:ascii="Times New Roman" w:hAnsi="Times New Roman"/>
          <w:b w:val="0"/>
          <w:color w:val="6B7280"/>
          <w:sz w:val="20"/>
        </w:rPr>
        <w:t>TEXIO verifies that sources exist and reports what we could assess. Final responsibility for citation accuracy and academic integrity rests with you — please review the work before submitting it.</w:t>
      </w:r>
    </w:p>
    <w:p/>
    <w:p>
      <w:pPr>
        <w:pStyle w:val="Heading1"/>
        <w:pBdr>
          <w:bottom w:val="single" w:sz="18" w:space="4" w:color="E06D00"/>
        </w:pBdr>
      </w:pPr>
      <w:r>
        <w:t>Source Pool — Every Source We Scanned</w:t>
      </w:r>
    </w:p>
    <w:p>
      <w:pPr>
        <w:jc w:val="left"/>
      </w:pPr>
      <w:r>
        <w:rPr>
          <w:rFonts w:ascii="Times New Roman" w:hAnsi="Times New Roman"/>
          <w:b w:val="0"/>
          <w:color w:val="6B7280"/>
          <w:sz w:val="20"/>
        </w:rPr>
        <w:t>Full transparency on the search behind your paper: every source we found, grouped by what happened to it. Use it to decide whether to add, swap, or read further — the relevant ones we did not use are a ready shortlist.</w:t>
      </w:r>
    </w:p>
    <w:p>
      <w:pPr>
        <w:jc w:val="left"/>
      </w:pPr>
      <w:r>
        <w:rPr>
          <w:rFonts w:ascii="Times New Roman" w:hAnsi="Times New Roman"/>
          <w:b/>
          <w:sz w:val="22"/>
        </w:rPr>
        <w:t>Included in your paper</w:t>
      </w:r>
    </w:p>
    <w:tbl>
      <w:tblPr>
        <w:tblStyle w:val="TableGrid"/>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2160"/>
        <w:gridCol w:w="2160"/>
        <w:gridCol w:w="2160"/>
        <w:gridCol w:w="2160"/>
      </w:tblGrid>
      <w:tr>
        <w:trPr>
          <w:tblHeader/>
          <w:cantSplit/>
        </w:trPr>
        <w:tc>
          <w:tcPr>
            <w:tcW w:type="dxa" w:w="4176"/>
            <w:shd w:val="clear" w:color="auto" w:fill="FF7A00"/>
          </w:tcPr>
          <w:p>
            <w:pPr>
              <w:bidi w:val="0"/>
              <w:jc w:val="start"/>
            </w:pPr>
            <w:r/>
            <w:r>
              <w:rPr>
                <w:b/>
                <w:color w:val="FFFFFF"/>
                <w:sz w:val="18"/>
              </w:rPr>
              <w:t>Source</w:t>
            </w:r>
          </w:p>
        </w:tc>
        <w:tc>
          <w:tcPr>
            <w:tcW w:type="dxa" w:w="2016"/>
            <w:shd w:val="clear" w:color="auto" w:fill="FF7A00"/>
          </w:tcPr>
          <w:p>
            <w:pPr>
              <w:bidi w:val="0"/>
              <w:jc w:val="start"/>
            </w:pPr>
            <w:r/>
            <w:r>
              <w:rPr>
                <w:b/>
                <w:color w:val="FFFFFF"/>
                <w:sz w:val="18"/>
              </w:rPr>
              <w:t>DOI</w:t>
            </w:r>
          </w:p>
        </w:tc>
        <w:tc>
          <w:tcPr>
            <w:tcW w:type="dxa" w:w="1728"/>
            <w:shd w:val="clear" w:color="auto" w:fill="FF7A00"/>
          </w:tcPr>
          <w:p>
            <w:pPr>
              <w:bidi w:val="0"/>
              <w:jc w:val="start"/>
            </w:pPr>
            <w:r/>
            <w:r>
              <w:rPr>
                <w:b/>
                <w:color w:val="FFFFFF"/>
                <w:sz w:val="18"/>
              </w:rPr>
              <w:t>Found via</w:t>
            </w:r>
          </w:p>
        </w:tc>
        <w:tc>
          <w:tcPr>
            <w:tcW w:type="dxa" w:w="2592"/>
            <w:shd w:val="clear" w:color="auto" w:fill="FF7A00"/>
          </w:tcPr>
          <w:p>
            <w:pPr>
              <w:bidi w:val="0"/>
              <w:jc w:val="start"/>
            </w:pPr>
            <w:r/>
            <w:r>
              <w:rPr>
                <w:b/>
                <w:color w:val="FFFFFF"/>
                <w:sz w:val="18"/>
              </w:rPr>
              <w:t>Why</w:t>
            </w:r>
          </w:p>
        </w:tc>
      </w:tr>
      <w:tr>
        <w:trPr>
          <w:cantSplit/>
        </w:trPr>
        <w:tc>
          <w:tcPr>
            <w:tcW w:type="dxa" w:w="4176"/>
          </w:tcPr>
          <w:p>
            <w:pPr>
              <w:bidi w:val="0"/>
              <w:jc w:val="start"/>
            </w:pPr>
            <w:r/>
            <w:r>
              <w:rPr>
                <w:sz w:val="18"/>
              </w:rPr>
              <w:t>AI governance: themes, knowledge gaps and future agendas — Birkstedt et al. — (2023)</w:t>
            </w:r>
          </w:p>
        </w:tc>
        <w:tc>
          <w:tcPr>
            <w:tcW w:type="dxa" w:w="2016"/>
          </w:tcPr>
          <w:p>
            <w:pPr>
              <w:bidi w:val="0"/>
              <w:jc w:val="start"/>
            </w:pPr>
            <w:r/>
            <w:r>
              <w:rPr>
                <w:sz w:val="18"/>
              </w:rPr>
              <w:t>10.1108/intr-01-2022-0042</w:t>
            </w:r>
          </w:p>
        </w:tc>
        <w:tc>
          <w:tcPr>
            <w:tcW w:type="dxa" w:w="1728"/>
          </w:tcPr>
          <w:p>
            <w:pPr>
              <w:bidi w:val="0"/>
              <w:jc w:val="start"/>
            </w:pPr>
            <w:r/>
            <w:r>
              <w:rPr>
                <w:sz w:val="18"/>
              </w:rPr>
              <w:t>Focused search</w:t>
            </w:r>
          </w:p>
        </w:tc>
        <w:tc>
          <w:tcPr>
            <w:tcW w:type="dxa" w:w="2592"/>
          </w:tcPr>
          <w:p>
            <w:pPr>
              <w:bidi w:val="0"/>
              <w:jc w:val="start"/>
            </w:pPr>
            <w:r/>
            <w:r>
              <w:rPr>
                <w:sz w:val="18"/>
              </w:rPr>
              <w:t>Cited in the paper</w:t>
            </w:r>
          </w:p>
        </w:tc>
      </w:tr>
      <w:tr>
        <w:trPr>
          <w:cantSplit/>
        </w:trPr>
        <w:tc>
          <w:tcPr>
            <w:tcW w:type="dxa" w:w="4176"/>
            <w:shd w:val="clear" w:color="auto" w:fill="FFF5EB"/>
          </w:tcPr>
          <w:p>
            <w:pPr>
              <w:bidi w:val="0"/>
              <w:jc w:val="start"/>
            </w:pPr>
            <w:r/>
            <w:r>
              <w:rPr>
                <w:sz w:val="18"/>
              </w:rPr>
              <w:t>Fanfiction and the Author — Fathallah — (2017)</w:t>
            </w:r>
          </w:p>
        </w:tc>
        <w:tc>
          <w:tcPr>
            <w:tcW w:type="dxa" w:w="2016"/>
            <w:shd w:val="clear" w:color="auto" w:fill="FFF5EB"/>
          </w:tcPr>
          <w:p>
            <w:pPr>
              <w:bidi w:val="0"/>
              <w:jc w:val="start"/>
            </w:pPr>
            <w:r/>
            <w:r>
              <w:rPr>
                <w:sz w:val="18"/>
              </w:rPr>
              <w:t>10.1515/9789048529087</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Cited in the paper</w:t>
            </w:r>
          </w:p>
        </w:tc>
      </w:tr>
      <w:tr>
        <w:trPr>
          <w:cantSplit/>
        </w:trPr>
        <w:tc>
          <w:tcPr>
            <w:tcW w:type="dxa" w:w="4176"/>
          </w:tcPr>
          <w:p>
            <w:pPr>
              <w:bidi w:val="0"/>
              <w:jc w:val="start"/>
            </w:pPr>
            <w:r/>
            <w:r>
              <w:rPr>
                <w:sz w:val="18"/>
              </w:rPr>
              <w:t>Originality and the future of copyright in an age of generative AI — Fenwick et al. — (2023)</w:t>
            </w:r>
          </w:p>
        </w:tc>
        <w:tc>
          <w:tcPr>
            <w:tcW w:type="dxa" w:w="2016"/>
          </w:tcPr>
          <w:p>
            <w:pPr>
              <w:bidi w:val="0"/>
              <w:jc w:val="start"/>
            </w:pPr>
            <w:r/>
            <w:r>
              <w:rPr>
                <w:sz w:val="18"/>
              </w:rPr>
              <w:t>10.1016/j.clsr.2023.105892</w:t>
            </w:r>
          </w:p>
        </w:tc>
        <w:tc>
          <w:tcPr>
            <w:tcW w:type="dxa" w:w="1728"/>
          </w:tcPr>
          <w:p>
            <w:pPr>
              <w:bidi w:val="0"/>
              <w:jc w:val="start"/>
            </w:pPr>
            <w:r/>
            <w:r>
              <w:rPr>
                <w:sz w:val="18"/>
              </w:rPr>
              <w:t>Focused search</w:t>
            </w:r>
          </w:p>
        </w:tc>
        <w:tc>
          <w:tcPr>
            <w:tcW w:type="dxa" w:w="2592"/>
          </w:tcPr>
          <w:p>
            <w:pPr>
              <w:bidi w:val="0"/>
              <w:jc w:val="start"/>
            </w:pPr>
            <w:r/>
            <w:r>
              <w:rPr>
                <w:sz w:val="18"/>
              </w:rPr>
              <w:t>Cited in the paper</w:t>
            </w:r>
          </w:p>
        </w:tc>
      </w:tr>
      <w:tr>
        <w:trPr>
          <w:cantSplit/>
        </w:trPr>
        <w:tc>
          <w:tcPr>
            <w:tcW w:type="dxa" w:w="4176"/>
            <w:shd w:val="clear" w:color="auto" w:fill="FFF5EB"/>
          </w:tcPr>
          <w:p>
            <w:pPr>
              <w:bidi w:val="0"/>
              <w:jc w:val="start"/>
            </w:pPr>
            <w:r/>
            <w:r>
              <w:rPr>
                <w:sz w:val="18"/>
              </w:rPr>
              <w:t>Living Books — Janneke Adema — (2021)</w:t>
            </w:r>
          </w:p>
        </w:tc>
        <w:tc>
          <w:tcPr>
            <w:tcW w:type="dxa" w:w="2016"/>
            <w:shd w:val="clear" w:color="auto" w:fill="FFF5EB"/>
          </w:tcPr>
          <w:p>
            <w:pPr>
              <w:bidi w:val="0"/>
              <w:jc w:val="start"/>
            </w:pPr>
            <w:r/>
            <w:r>
              <w:rPr>
                <w:sz w:val="18"/>
              </w:rPr>
              <w:t>10.7551/mitpress/11297.001.0001</w:t>
            </w:r>
          </w:p>
        </w:tc>
        <w:tc>
          <w:tcPr>
            <w:tcW w:type="dxa" w:w="1728"/>
            <w:shd w:val="clear" w:color="auto" w:fill="FFF5EB"/>
          </w:tcPr>
          <w:p>
            <w:pPr>
              <w:bidi w:val="0"/>
              <w:jc w:val="start"/>
            </w:pPr>
            <w:r/>
            <w:r>
              <w:rPr>
                <w:sz w:val="18"/>
              </w:rPr>
              <w:t>Background search</w:t>
            </w:r>
          </w:p>
        </w:tc>
        <w:tc>
          <w:tcPr>
            <w:tcW w:type="dxa" w:w="2592"/>
            <w:shd w:val="clear" w:color="auto" w:fill="FFF5EB"/>
          </w:tcPr>
          <w:p>
            <w:pPr>
              <w:bidi w:val="0"/>
              <w:jc w:val="start"/>
            </w:pPr>
            <w:r/>
            <w:r>
              <w:rPr>
                <w:sz w:val="18"/>
              </w:rPr>
              <w:t>Cited in the paper</w:t>
            </w:r>
          </w:p>
        </w:tc>
      </w:tr>
      <w:tr>
        <w:trPr>
          <w:cantSplit/>
        </w:trPr>
        <w:tc>
          <w:tcPr>
            <w:tcW w:type="dxa" w:w="4176"/>
          </w:tcPr>
          <w:p>
            <w:pPr>
              <w:bidi w:val="0"/>
              <w:jc w:val="start"/>
            </w:pPr>
            <w:r/>
            <w:r>
              <w:rPr>
                <w:sz w:val="18"/>
              </w:rPr>
              <w:t>Tactical Entanglements: AI Art, Creative Agency, and the Limits of Intellectual Property — Martin Zeilinger — (2021)</w:t>
            </w:r>
          </w:p>
        </w:tc>
        <w:tc>
          <w:tcPr>
            <w:tcW w:type="dxa" w:w="2016"/>
          </w:tcPr>
          <w:p>
            <w:pPr>
              <w:bidi w:val="0"/>
              <w:jc w:val="start"/>
            </w:pPr>
            <w:r/>
            <w:r>
              <w:rPr>
                <w:sz w:val="18"/>
              </w:rPr>
              <w:t>10.14619/1839</w:t>
            </w:r>
          </w:p>
        </w:tc>
        <w:tc>
          <w:tcPr>
            <w:tcW w:type="dxa" w:w="1728"/>
          </w:tcPr>
          <w:p>
            <w:pPr>
              <w:bidi w:val="0"/>
              <w:jc w:val="start"/>
            </w:pPr>
            <w:r/>
            <w:r>
              <w:rPr>
                <w:sz w:val="18"/>
              </w:rPr>
              <w:t>Focused search</w:t>
            </w:r>
          </w:p>
        </w:tc>
        <w:tc>
          <w:tcPr>
            <w:tcW w:type="dxa" w:w="2592"/>
          </w:tcPr>
          <w:p>
            <w:pPr>
              <w:bidi w:val="0"/>
              <w:jc w:val="start"/>
            </w:pPr>
            <w:r/>
            <w:r>
              <w:rPr>
                <w:sz w:val="18"/>
              </w:rPr>
              <w:t>Cited in the paper</w:t>
            </w:r>
          </w:p>
        </w:tc>
      </w:tr>
      <w:tr>
        <w:trPr>
          <w:cantSplit/>
        </w:trPr>
        <w:tc>
          <w:tcPr>
            <w:tcW w:type="dxa" w:w="4176"/>
            <w:shd w:val="clear" w:color="auto" w:fill="FFF5EB"/>
          </w:tcPr>
          <w:p>
            <w:pPr>
              <w:bidi w:val="0"/>
              <w:jc w:val="start"/>
            </w:pPr>
            <w:r/>
            <w:r>
              <w:rPr>
                <w:sz w:val="18"/>
              </w:rPr>
              <w:t>Rethinking data infrastructure and its ethical implications in the face of automated digital content generation — Maria Joseph Israel et al. — (2022)</w:t>
            </w:r>
          </w:p>
        </w:tc>
        <w:tc>
          <w:tcPr>
            <w:tcW w:type="dxa" w:w="2016"/>
            <w:shd w:val="clear" w:color="auto" w:fill="FFF5EB"/>
          </w:tcPr>
          <w:p>
            <w:pPr>
              <w:bidi w:val="0"/>
              <w:jc w:val="start"/>
            </w:pPr>
            <w:r/>
            <w:r>
              <w:rPr>
                <w:sz w:val="18"/>
              </w:rPr>
              <w:t>10.1007/s43681-022-00169-1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Cited in the paper</w:t>
            </w:r>
          </w:p>
        </w:tc>
      </w:tr>
      <w:tr>
        <w:trPr>
          <w:cantSplit/>
        </w:trPr>
        <w:tc>
          <w:tcPr>
            <w:tcW w:type="dxa" w:w="4176"/>
          </w:tcPr>
          <w:p>
            <w:pPr>
              <w:bidi w:val="0"/>
              <w:jc w:val="start"/>
            </w:pPr>
            <w:r/>
            <w:r>
              <w:rPr>
                <w:sz w:val="18"/>
              </w:rPr>
              <w:t>Writing at a Distance: Notes on Authorship and Artificial Intelligence — Hannes Bajohr — (2024)</w:t>
            </w:r>
          </w:p>
        </w:tc>
        <w:tc>
          <w:tcPr>
            <w:tcW w:type="dxa" w:w="2016"/>
          </w:tcPr>
          <w:p>
            <w:pPr>
              <w:bidi w:val="0"/>
              <w:jc w:val="start"/>
            </w:pPr>
            <w:r/>
            <w:r>
              <w:rPr>
                <w:sz w:val="18"/>
              </w:rPr>
              <w:t>10.1353/gsr.2024.a927862</w:t>
            </w:r>
          </w:p>
        </w:tc>
        <w:tc>
          <w:tcPr>
            <w:tcW w:type="dxa" w:w="1728"/>
          </w:tcPr>
          <w:p>
            <w:pPr>
              <w:bidi w:val="0"/>
              <w:jc w:val="start"/>
            </w:pPr>
            <w:r/>
            <w:r>
              <w:rPr>
                <w:sz w:val="18"/>
              </w:rPr>
              <w:t>Background search</w:t>
            </w:r>
          </w:p>
        </w:tc>
        <w:tc>
          <w:tcPr>
            <w:tcW w:type="dxa" w:w="2592"/>
          </w:tcPr>
          <w:p>
            <w:pPr>
              <w:bidi w:val="0"/>
              <w:jc w:val="start"/>
            </w:pPr>
            <w:r/>
            <w:r>
              <w:rPr>
                <w:sz w:val="18"/>
              </w:rPr>
              <w:t>Cited in the paper</w:t>
            </w:r>
          </w:p>
        </w:tc>
      </w:tr>
      <w:tr>
        <w:trPr>
          <w:cantSplit/>
        </w:trPr>
        <w:tc>
          <w:tcPr>
            <w:tcW w:type="dxa" w:w="4176"/>
            <w:shd w:val="clear" w:color="auto" w:fill="FFF5EB"/>
          </w:tcPr>
          <w:p>
            <w:pPr>
              <w:bidi w:val="0"/>
              <w:jc w:val="start"/>
            </w:pPr>
            <w:r/>
            <w:r>
              <w:rPr>
                <w:sz w:val="18"/>
              </w:rPr>
              <w:t>Concepts of Authorship in Pre-Modern Arabic Texts — Lale Behzadi et al. — (2015)</w:t>
            </w:r>
          </w:p>
        </w:tc>
        <w:tc>
          <w:tcPr>
            <w:tcW w:type="dxa" w:w="2016"/>
            <w:shd w:val="clear" w:color="auto" w:fill="FFF5EB"/>
          </w:tcPr>
          <w:p>
            <w:pPr>
              <w:bidi w:val="0"/>
              <w:jc w:val="start"/>
            </w:pPr>
            <w:r/>
            <w:r>
              <w:rPr>
                <w:sz w:val="18"/>
              </w:rPr>
              <w:t>10.20378/irb-40118</w:t>
            </w:r>
          </w:p>
        </w:tc>
        <w:tc>
          <w:tcPr>
            <w:tcW w:type="dxa" w:w="1728"/>
            <w:shd w:val="clear" w:color="auto" w:fill="FFF5EB"/>
          </w:tcPr>
          <w:p>
            <w:pPr>
              <w:bidi w:val="0"/>
              <w:jc w:val="start"/>
            </w:pPr>
            <w:r/>
            <w:r>
              <w:rPr>
                <w:sz w:val="18"/>
              </w:rPr>
              <w:t>Background search</w:t>
            </w:r>
          </w:p>
        </w:tc>
        <w:tc>
          <w:tcPr>
            <w:tcW w:type="dxa" w:w="2592"/>
            <w:shd w:val="clear" w:color="auto" w:fill="FFF5EB"/>
          </w:tcPr>
          <w:p>
            <w:pPr>
              <w:bidi w:val="0"/>
              <w:jc w:val="start"/>
            </w:pPr>
            <w:r/>
            <w:r>
              <w:rPr>
                <w:sz w:val="18"/>
              </w:rPr>
              <w:t>Cited in the paper</w:t>
            </w:r>
          </w:p>
        </w:tc>
      </w:tr>
      <w:tr>
        <w:trPr>
          <w:cantSplit/>
        </w:trPr>
        <w:tc>
          <w:tcPr>
            <w:tcW w:type="dxa" w:w="4176"/>
          </w:tcPr>
          <w:p>
            <w:pPr>
              <w:bidi w:val="0"/>
              <w:jc w:val="start"/>
            </w:pPr>
            <w:r/>
            <w:r>
              <w:rPr>
                <w:sz w:val="18"/>
              </w:rPr>
              <w:t>Authorship and Publishing in the Humanities — Marcel Knöchelmann — (2023)</w:t>
            </w:r>
          </w:p>
        </w:tc>
        <w:tc>
          <w:tcPr>
            <w:tcW w:type="dxa" w:w="2016"/>
          </w:tcPr>
          <w:p>
            <w:pPr>
              <w:bidi w:val="0"/>
              <w:jc w:val="start"/>
            </w:pPr>
            <w:r/>
            <w:r>
              <w:rPr>
                <w:sz w:val="18"/>
              </w:rPr>
              <w:t>10.1017/9781009223089</w:t>
            </w:r>
          </w:p>
        </w:tc>
        <w:tc>
          <w:tcPr>
            <w:tcW w:type="dxa" w:w="1728"/>
          </w:tcPr>
          <w:p>
            <w:pPr>
              <w:bidi w:val="0"/>
              <w:jc w:val="start"/>
            </w:pPr>
            <w:r/>
            <w:r>
              <w:rPr>
                <w:sz w:val="18"/>
              </w:rPr>
              <w:t>Background search</w:t>
            </w:r>
          </w:p>
        </w:tc>
        <w:tc>
          <w:tcPr>
            <w:tcW w:type="dxa" w:w="2592"/>
          </w:tcPr>
          <w:p>
            <w:pPr>
              <w:bidi w:val="0"/>
              <w:jc w:val="start"/>
            </w:pPr>
            <w:r/>
            <w:r>
              <w:rPr>
                <w:sz w:val="18"/>
              </w:rPr>
              <w:t>Cited in the paper</w:t>
            </w:r>
          </w:p>
        </w:tc>
      </w:tr>
      <w:tr>
        <w:trPr>
          <w:cantSplit/>
        </w:trPr>
        <w:tc>
          <w:tcPr>
            <w:tcW w:type="dxa" w:w="4176"/>
            <w:shd w:val="clear" w:color="auto" w:fill="FFF5EB"/>
          </w:tcPr>
          <w:p>
            <w:pPr>
              <w:bidi w:val="0"/>
              <w:jc w:val="start"/>
            </w:pPr>
            <w:r/>
            <w:r>
              <w:rPr>
                <w:sz w:val="18"/>
              </w:rPr>
              <w:t>Towards a new sociology of the text: the hermeneutics of algorithmic authorship — Leah Henrickson — (2021)</w:t>
            </w:r>
          </w:p>
        </w:tc>
        <w:tc>
          <w:tcPr>
            <w:tcW w:type="dxa" w:w="2016"/>
            <w:shd w:val="clear" w:color="auto" w:fill="FFF5EB"/>
          </w:tcPr>
          <w:p>
            <w:pPr>
              <w:bidi w:val="0"/>
              <w:jc w:val="start"/>
            </w:pPr>
            <w:r/>
            <w:r>
              <w:rPr>
                <w:sz w:val="18"/>
              </w:rPr>
              <w:t>10.26174/thesis.lboro.10596404.v1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Cited in the paper</w:t>
            </w:r>
          </w:p>
        </w:tc>
      </w:tr>
      <w:tr>
        <w:trPr>
          <w:cantSplit/>
        </w:trPr>
        <w:tc>
          <w:tcPr>
            <w:tcW w:type="dxa" w:w="4176"/>
          </w:tcPr>
          <w:p>
            <w:pPr>
              <w:bidi w:val="0"/>
              <w:jc w:val="start"/>
            </w:pPr>
            <w:r/>
            <w:r>
              <w:rPr>
                <w:sz w:val="18"/>
              </w:rPr>
              <w:t>Distant Writing and The Epistemology of Authorship: On Creativity, Delegation, And Plagiarism in The Age Of AI — Rodrigues — (2025)</w:t>
            </w:r>
          </w:p>
        </w:tc>
        <w:tc>
          <w:tcPr>
            <w:tcW w:type="dxa" w:w="2016"/>
          </w:tcPr>
          <w:p>
            <w:pPr>
              <w:bidi w:val="0"/>
              <w:jc w:val="start"/>
            </w:pPr>
            <w:r/>
            <w:r>
              <w:rPr>
                <w:sz w:val="18"/>
              </w:rPr>
              <w:t>10.18535/ijsshi/v12i05.04</w:t>
            </w:r>
          </w:p>
        </w:tc>
        <w:tc>
          <w:tcPr>
            <w:tcW w:type="dxa" w:w="1728"/>
          </w:tcPr>
          <w:p>
            <w:pPr>
              <w:bidi w:val="0"/>
              <w:jc w:val="start"/>
            </w:pPr>
            <w:r/>
            <w:r>
              <w:rPr>
                <w:sz w:val="18"/>
              </w:rPr>
              <w:t>Focused search</w:t>
            </w:r>
          </w:p>
        </w:tc>
        <w:tc>
          <w:tcPr>
            <w:tcW w:type="dxa" w:w="2592"/>
          </w:tcPr>
          <w:p>
            <w:pPr>
              <w:bidi w:val="0"/>
              <w:jc w:val="start"/>
            </w:pPr>
            <w:r/>
            <w:r>
              <w:rPr>
                <w:sz w:val="18"/>
              </w:rPr>
              <w:t>Cited in the paper</w:t>
            </w:r>
          </w:p>
        </w:tc>
      </w:tr>
    </w:tbl>
    <w:p/>
    <w:p>
      <w:pPr>
        <w:jc w:val="left"/>
      </w:pPr>
      <w:r>
        <w:rPr>
          <w:rFonts w:ascii="Times New Roman" w:hAnsi="Times New Roman"/>
          <w:b/>
          <w:sz w:val="22"/>
        </w:rPr>
        <w:t>Relevant — not used (candidates to add)</w:t>
      </w:r>
    </w:p>
    <w:tbl>
      <w:tblPr>
        <w:tblStyle w:val="TableGrid"/>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2160"/>
        <w:gridCol w:w="2160"/>
        <w:gridCol w:w="2160"/>
        <w:gridCol w:w="2160"/>
      </w:tblGrid>
      <w:tr>
        <w:trPr>
          <w:tblHeader/>
          <w:cantSplit/>
        </w:trPr>
        <w:tc>
          <w:tcPr>
            <w:tcW w:type="dxa" w:w="4176"/>
            <w:shd w:val="clear" w:color="auto" w:fill="FF7A00"/>
          </w:tcPr>
          <w:p>
            <w:pPr>
              <w:bidi w:val="0"/>
              <w:jc w:val="start"/>
            </w:pPr>
            <w:r/>
            <w:r>
              <w:rPr>
                <w:b/>
                <w:color w:val="FFFFFF"/>
                <w:sz w:val="18"/>
              </w:rPr>
              <w:t>Source</w:t>
            </w:r>
          </w:p>
        </w:tc>
        <w:tc>
          <w:tcPr>
            <w:tcW w:type="dxa" w:w="2016"/>
            <w:shd w:val="clear" w:color="auto" w:fill="FF7A00"/>
          </w:tcPr>
          <w:p>
            <w:pPr>
              <w:bidi w:val="0"/>
              <w:jc w:val="start"/>
            </w:pPr>
            <w:r/>
            <w:r>
              <w:rPr>
                <w:b/>
                <w:color w:val="FFFFFF"/>
                <w:sz w:val="18"/>
              </w:rPr>
              <w:t>DOI</w:t>
            </w:r>
          </w:p>
        </w:tc>
        <w:tc>
          <w:tcPr>
            <w:tcW w:type="dxa" w:w="1728"/>
            <w:shd w:val="clear" w:color="auto" w:fill="FF7A00"/>
          </w:tcPr>
          <w:p>
            <w:pPr>
              <w:bidi w:val="0"/>
              <w:jc w:val="start"/>
            </w:pPr>
            <w:r/>
            <w:r>
              <w:rPr>
                <w:b/>
                <w:color w:val="FFFFFF"/>
                <w:sz w:val="18"/>
              </w:rPr>
              <w:t>Found via</w:t>
            </w:r>
          </w:p>
        </w:tc>
        <w:tc>
          <w:tcPr>
            <w:tcW w:type="dxa" w:w="2592"/>
            <w:shd w:val="clear" w:color="auto" w:fill="FF7A00"/>
          </w:tcPr>
          <w:p>
            <w:pPr>
              <w:bidi w:val="0"/>
              <w:jc w:val="start"/>
            </w:pPr>
            <w:r/>
            <w:r>
              <w:rPr>
                <w:b/>
                <w:color w:val="FFFFFF"/>
                <w:sz w:val="18"/>
              </w:rPr>
              <w:t>Why</w:t>
            </w:r>
          </w:p>
        </w:tc>
      </w:tr>
      <w:tr>
        <w:trPr>
          <w:cantSplit/>
        </w:trPr>
        <w:tc>
          <w:tcPr>
            <w:tcW w:type="dxa" w:w="4176"/>
          </w:tcPr>
          <w:p>
            <w:pPr>
              <w:bidi w:val="0"/>
              <w:jc w:val="start"/>
            </w:pPr>
            <w:r/>
            <w:r>
              <w:rPr>
                <w:sz w:val="18"/>
              </w:rPr>
              <w:t>Replication in Second Language Research: Narrative and Systematic Reviews and Recommendations for the Field — Marsden et al. — (2018)</w:t>
            </w:r>
          </w:p>
        </w:tc>
        <w:tc>
          <w:tcPr>
            <w:tcW w:type="dxa" w:w="2016"/>
          </w:tcPr>
          <w:p>
            <w:pPr>
              <w:bidi w:val="0"/>
              <w:jc w:val="start"/>
            </w:pPr>
            <w:r/>
            <w:r>
              <w:rPr>
                <w:sz w:val="18"/>
              </w:rPr>
              <w:t>10.1111/lang.12286</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Anthropomorphism and consumer behaviour: A&lt;scp&gt;SPAR‐4‐SLR&lt;/scp&gt;protocol compliant hybrid review — Khan et al. — (2023)</w:t>
            </w:r>
          </w:p>
        </w:tc>
        <w:tc>
          <w:tcPr>
            <w:tcW w:type="dxa" w:w="2016"/>
            <w:shd w:val="clear" w:color="auto" w:fill="FFF5EB"/>
          </w:tcPr>
          <w:p>
            <w:pPr>
              <w:bidi w:val="0"/>
              <w:jc w:val="start"/>
            </w:pPr>
            <w:r/>
            <w:r>
              <w:rPr>
                <w:sz w:val="18"/>
              </w:rPr>
              <w:t>10.1111/ijcs.12985</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Employee well-being human resource practices: a systematic literature review and directions for future research — Bhoir et al. — (2024)</w:t>
            </w:r>
          </w:p>
        </w:tc>
        <w:tc>
          <w:tcPr>
            <w:tcW w:type="dxa" w:w="2016"/>
          </w:tcPr>
          <w:p>
            <w:pPr>
              <w:bidi w:val="0"/>
              <w:jc w:val="start"/>
            </w:pPr>
            <w:r/>
            <w:r>
              <w:rPr>
                <w:sz w:val="18"/>
              </w:rPr>
              <w:t>10.1186/s43093-024-00382-w</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Unleashing the power of AI: a systematic review of cutting-edge techniques in AI-enhanced scientometrics, webometrics and bibliometrics — Saeidnia et al. — (2024)</w:t>
            </w:r>
          </w:p>
        </w:tc>
        <w:tc>
          <w:tcPr>
            <w:tcW w:type="dxa" w:w="2016"/>
            <w:shd w:val="clear" w:color="auto" w:fill="FFF5EB"/>
          </w:tcPr>
          <w:p>
            <w:pPr>
              <w:bidi w:val="0"/>
              <w:jc w:val="start"/>
            </w:pPr>
            <w:r/>
            <w:r>
              <w:rPr>
                <w:sz w:val="18"/>
              </w:rPr>
              <w:t>10.1108/lht-10-2023-0514</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A bibliometric review of research on entrepreneurial capacity for the period 1979 to 2022: Current status, development, and future research directions — Chhabra et al. — (2023)</w:t>
            </w:r>
          </w:p>
        </w:tc>
        <w:tc>
          <w:tcPr>
            <w:tcW w:type="dxa" w:w="2016"/>
          </w:tcPr>
          <w:p>
            <w:pPr>
              <w:bidi w:val="0"/>
              <w:jc w:val="start"/>
            </w:pPr>
            <w:r/>
            <w:r>
              <w:rPr>
                <w:sz w:val="18"/>
              </w:rPr>
              <w:t>10.1080/23311975.2023.2178338</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AI-Assisted Tools for Scientific Review Writing: Opportunities and Cautions — Silva et al. — (2025)</w:t>
            </w:r>
          </w:p>
        </w:tc>
        <w:tc>
          <w:tcPr>
            <w:tcW w:type="dxa" w:w="2016"/>
            <w:shd w:val="clear" w:color="auto" w:fill="FFF5EB"/>
          </w:tcPr>
          <w:p>
            <w:pPr>
              <w:bidi w:val="0"/>
              <w:jc w:val="start"/>
            </w:pPr>
            <w:r/>
            <w:r>
              <w:rPr>
                <w:sz w:val="18"/>
              </w:rPr>
              <w:t>10.1021/acsami.5c08837</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From aura to semi-aura: reframing authenticity in AI-generated art—a systematic literature review — Salas Espasa et al. — (2025)</w:t>
            </w:r>
          </w:p>
        </w:tc>
        <w:tc>
          <w:tcPr>
            <w:tcW w:type="dxa" w:w="2016"/>
          </w:tcPr>
          <w:p>
            <w:pPr>
              <w:bidi w:val="0"/>
              <w:jc w:val="start"/>
            </w:pPr>
            <w:r/>
            <w:r>
              <w:rPr>
                <w:sz w:val="18"/>
              </w:rPr>
              <w:t>10.1007/s00146-025-02361-3</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Preserving Authorial Voice in Academic Texts in the Age of Generative AI: A Thematic Literature Review — Al Hosni — (2025)</w:t>
            </w:r>
          </w:p>
        </w:tc>
        <w:tc>
          <w:tcPr>
            <w:tcW w:type="dxa" w:w="2016"/>
            <w:shd w:val="clear" w:color="auto" w:fill="FFF5EB"/>
          </w:tcPr>
          <w:p>
            <w:pPr>
              <w:bidi w:val="0"/>
              <w:jc w:val="start"/>
            </w:pPr>
            <w:r/>
            <w:r>
              <w:rPr>
                <w:sz w:val="18"/>
              </w:rPr>
              <w:t>10.24093/awej/vol16no3.14</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‘A cannon's burst discharged against a ruinated wall’:  A Critique of Quantitative Methods in Shakespearean Authorial Attribution — Auerbach — (2018)</w:t>
            </w:r>
          </w:p>
        </w:tc>
        <w:tc>
          <w:tcPr>
            <w:tcW w:type="dxa" w:w="2016"/>
          </w:tcPr>
          <w:p>
            <w:pPr>
              <w:bidi w:val="0"/>
              <w:jc w:val="start"/>
            </w:pPr>
            <w:r/>
            <w:r>
              <w:rPr>
                <w:sz w:val="18"/>
              </w:rPr>
              <w:t>10.21825/aj.v7i2.9737</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Exploration of the creative processes in animals, robots, and AI: who holds the authorship? — Cédric Sueur et al. — (2024)</w:t>
            </w:r>
          </w:p>
        </w:tc>
        <w:tc>
          <w:tcPr>
            <w:tcW w:type="dxa" w:w="2016"/>
            <w:shd w:val="clear" w:color="auto" w:fill="FFF5EB"/>
          </w:tcPr>
          <w:p>
            <w:pPr>
              <w:bidi w:val="0"/>
              <w:jc w:val="start"/>
            </w:pPr>
            <w:r/>
            <w:r>
              <w:rPr>
                <w:sz w:val="18"/>
              </w:rPr>
              <w:t>10.1057/s41599-024-03125-y</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The Cambridge Handbook of Investment-Driven Intellectual Property — Enrico Bonadio et al. — (2023)</w:t>
            </w:r>
          </w:p>
        </w:tc>
        <w:tc>
          <w:tcPr>
            <w:tcW w:type="dxa" w:w="2016"/>
          </w:tcPr>
          <w:p>
            <w:pPr>
              <w:bidi w:val="0"/>
              <w:jc w:val="start"/>
            </w:pPr>
            <w:r/>
            <w:r>
              <w:rPr>
                <w:sz w:val="18"/>
              </w:rPr>
              <w:t>10.1017/9781108989527</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Originality and the Future of Copyright in an Age of Generative AI — Paulius Jurčys et al. — (2023)</w:t>
            </w:r>
          </w:p>
        </w:tc>
        <w:tc>
          <w:tcPr>
            <w:tcW w:type="dxa" w:w="2016"/>
            <w:shd w:val="clear" w:color="auto" w:fill="FFF5EB"/>
          </w:tcPr>
          <w:p>
            <w:pPr>
              <w:bidi w:val="0"/>
              <w:jc w:val="start"/>
            </w:pPr>
            <w:r/>
            <w:r>
              <w:rPr>
                <w:sz w:val="18"/>
              </w:rPr>
              <w:t>10.48550/arxiv.2309.13055</w:t>
            </w:r>
          </w:p>
        </w:tc>
        <w:tc>
          <w:tcPr>
            <w:tcW w:type="dxa" w:w="1728"/>
            <w:shd w:val="clear" w:color="auto" w:fill="FFF5EB"/>
          </w:tcPr>
          <w:p>
            <w:pPr>
              <w:bidi w:val="0"/>
              <w:jc w:val="start"/>
            </w:pPr>
            <w:r/>
            <w:r>
              <w:rPr>
                <w:sz w:val="18"/>
              </w:rPr>
              <w:t>Background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Rethinking authorship in a generative AI-driven academic world — Kumar — (2025)</w:t>
            </w:r>
          </w:p>
        </w:tc>
        <w:tc>
          <w:tcPr>
            <w:tcW w:type="dxa" w:w="2016"/>
          </w:tcPr>
          <w:p>
            <w:pPr>
              <w:bidi w:val="0"/>
              <w:jc w:val="start"/>
            </w:pPr>
            <w:r/>
            <w:r>
              <w:rPr>
                <w:sz w:val="18"/>
              </w:rPr>
              <w:t>10.4337/9781035337873.00011</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Challenges of protecting electronic works in the era of artificial intelligence: a legal and doctrinal perspective — Albnian et al. — (2025)</w:t>
            </w:r>
          </w:p>
        </w:tc>
        <w:tc>
          <w:tcPr>
            <w:tcW w:type="dxa" w:w="2016"/>
            <w:shd w:val="clear" w:color="auto" w:fill="FFF5EB"/>
          </w:tcPr>
          <w:p>
            <w:pPr>
              <w:bidi w:val="0"/>
              <w:jc w:val="start"/>
            </w:pPr>
            <w:r/>
            <w:r>
              <w:rPr>
                <w:sz w:val="18"/>
              </w:rPr>
              <w:t>10.3389/fhumd.2025.1701267</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Reclaiming authorship in the age of generative AI: From panic to possibility — Askari — (2025)</w:t>
            </w:r>
          </w:p>
        </w:tc>
        <w:tc>
          <w:tcPr>
            <w:tcW w:type="dxa" w:w="2016"/>
          </w:tcPr>
          <w:p>
            <w:pPr>
              <w:bidi w:val="0"/>
              <w:jc w:val="start"/>
            </w:pPr>
            <w:r/>
            <w:r>
              <w:rPr>
                <w:sz w:val="18"/>
              </w:rPr>
              <w:t>10.1002/aaai.70022</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Tweeting the Author: Tao Lin’s Performance of Authorial Identity on Twitter — Greene — (2018)</w:t>
            </w:r>
          </w:p>
        </w:tc>
        <w:tc>
          <w:tcPr>
            <w:tcW w:type="dxa" w:w="2016"/>
            <w:shd w:val="clear" w:color="auto" w:fill="FFF5EB"/>
          </w:tcPr>
          <w:p>
            <w:pPr>
              <w:bidi w:val="0"/>
              <w:jc w:val="start"/>
            </w:pPr>
            <w:r/>
            <w:r>
              <w:rPr>
                <w:sz w:val="18"/>
              </w:rPr>
              <w:t>10.21825/aj.v7i1.8618</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Parafictional artists. From the critique of authorship to the curatorial turn — Emma Brasó — (2018)</w:t>
            </w:r>
          </w:p>
        </w:tc>
        <w:tc>
          <w:tcPr>
            <w:tcW w:type="dxa" w:w="2016"/>
          </w:tcPr>
          <w:p>
            <w:pPr>
              <w:bidi w:val="0"/>
              <w:jc w:val="start"/>
            </w:pPr>
            <w:r/>
            <w:r>
              <w:rPr>
                <w:sz w:val="18"/>
              </w:rPr>
              <w:t>—</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Author – Text – Intention: A Case Study on the Letter of James — Wischmeyer — (2019)</w:t>
            </w:r>
          </w:p>
        </w:tc>
        <w:tc>
          <w:tcPr>
            <w:tcW w:type="dxa" w:w="2016"/>
            <w:shd w:val="clear" w:color="auto" w:fill="FFF5EB"/>
          </w:tcPr>
          <w:p>
            <w:pPr>
              <w:bidi w:val="0"/>
              <w:jc w:val="start"/>
            </w:pPr>
            <w:r/>
            <w:r>
              <w:rPr>
                <w:sz w:val="18"/>
              </w:rPr>
              <w:t>10.1163/9789004379558_004</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AI as a Research Partner: Advocating for Co-Authorship in Academic Publications — Juan Dempere et al. — (2025)</w:t>
            </w:r>
          </w:p>
        </w:tc>
        <w:tc>
          <w:tcPr>
            <w:tcW w:type="dxa" w:w="2016"/>
          </w:tcPr>
          <w:p>
            <w:pPr>
              <w:bidi w:val="0"/>
              <w:jc w:val="start"/>
            </w:pPr>
            <w:r/>
            <w:r>
              <w:rPr>
                <w:sz w:val="18"/>
              </w:rPr>
              <w:t>10.64044/j8enmv71</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Dying and Rising with the Author: Specters of Paul and the Material Text — Fewster — (2019)</w:t>
            </w:r>
          </w:p>
        </w:tc>
        <w:tc>
          <w:tcPr>
            <w:tcW w:type="dxa" w:w="2016"/>
            <w:shd w:val="clear" w:color="auto" w:fill="FFF5EB"/>
          </w:tcPr>
          <w:p>
            <w:pPr>
              <w:bidi w:val="0"/>
              <w:jc w:val="start"/>
            </w:pPr>
            <w:r/>
            <w:r>
              <w:rPr>
                <w:sz w:val="18"/>
              </w:rPr>
              <w:t>10.1163/9789004379558_011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Authorship and/as Intertext – Julia Kristeva and Paul de Man — Clar — (2019)</w:t>
            </w:r>
          </w:p>
        </w:tc>
        <w:tc>
          <w:tcPr>
            <w:tcW w:type="dxa" w:w="2016"/>
          </w:tcPr>
          <w:p>
            <w:pPr>
              <w:bidi w:val="0"/>
              <w:jc w:val="start"/>
            </w:pPr>
            <w:r/>
            <w:r>
              <w:rPr>
                <w:sz w:val="18"/>
              </w:rPr>
              <w:t>10.1163/9789004379558_006</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Exegesis without Authorial Intention? On the Role of the “Author Construct” in Text Interpretation — Heinen — (2019)</w:t>
            </w:r>
          </w:p>
        </w:tc>
        <w:tc>
          <w:tcPr>
            <w:tcW w:type="dxa" w:w="2016"/>
            <w:shd w:val="clear" w:color="auto" w:fill="FFF5EB"/>
          </w:tcPr>
          <w:p>
            <w:pPr>
              <w:bidi w:val="0"/>
              <w:jc w:val="start"/>
            </w:pPr>
            <w:r/>
            <w:r>
              <w:rPr>
                <w:sz w:val="18"/>
              </w:rPr>
              <w:t>10.1163/9789004379558_003</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Covert and overt plagiarism: poetic attribution, originality and authorship — Holland-Batt et al. — (2024)</w:t>
            </w:r>
          </w:p>
        </w:tc>
        <w:tc>
          <w:tcPr>
            <w:tcW w:type="dxa" w:w="2016"/>
          </w:tcPr>
          <w:p>
            <w:pPr>
              <w:bidi w:val="0"/>
              <w:jc w:val="start"/>
            </w:pPr>
            <w:r/>
            <w:r>
              <w:rPr>
                <w:sz w:val="18"/>
              </w:rPr>
              <w:t>10.1080/14790726.2024.2425414</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Between Authorship and Oral Transmission: Negotiating the Attribution  of Authorial, Oral and Collective Style Markers in Early Modern Playtexts — Petersen — (2016)</w:t>
            </w:r>
          </w:p>
        </w:tc>
        <w:tc>
          <w:tcPr>
            <w:tcW w:type="dxa" w:w="2016"/>
            <w:shd w:val="clear" w:color="auto" w:fill="FFF5EB"/>
          </w:tcPr>
          <w:p>
            <w:pPr>
              <w:bidi w:val="0"/>
              <w:jc w:val="start"/>
            </w:pPr>
            <w:r/>
            <w:r>
              <w:rPr>
                <w:sz w:val="18"/>
              </w:rPr>
              <w:t>10.13128/jems-2279-7149-18093</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Who’s the Author? How Explanations Impact User Reliance in AI-Assisted Authorship Attribution — Bao et al. — (2025)</w:t>
            </w:r>
          </w:p>
        </w:tc>
        <w:tc>
          <w:tcPr>
            <w:tcW w:type="dxa" w:w="2016"/>
          </w:tcPr>
          <w:p>
            <w:pPr>
              <w:bidi w:val="0"/>
              <w:jc w:val="start"/>
            </w:pPr>
            <w:r/>
            <w:r>
              <w:rPr>
                <w:sz w:val="18"/>
              </w:rPr>
              <w:t>10.18653/v1/2025.findings-emnlp.1380</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ORIGINALITY, AUTHORSHIP, AND GENERATIVE AI: RETHINKING INDONESIAN COPYRIGHT LAW — Zakiyah et al. — (2025)</w:t>
            </w:r>
          </w:p>
        </w:tc>
        <w:tc>
          <w:tcPr>
            <w:tcW w:type="dxa" w:w="2016"/>
            <w:shd w:val="clear" w:color="auto" w:fill="FFF5EB"/>
          </w:tcPr>
          <w:p>
            <w:pPr>
              <w:bidi w:val="0"/>
              <w:jc w:val="start"/>
            </w:pPr>
            <w:r/>
            <w:r>
              <w:rPr>
                <w:sz w:val="18"/>
              </w:rPr>
              <w:t>10.14710/jhp.13.2.385-416</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Born-Again Bibles: Biblical Studies after the “Death of the Author” — Strømmen — (2019)</w:t>
            </w:r>
          </w:p>
        </w:tc>
        <w:tc>
          <w:tcPr>
            <w:tcW w:type="dxa" w:w="2016"/>
          </w:tcPr>
          <w:p>
            <w:pPr>
              <w:bidi w:val="0"/>
              <w:jc w:val="start"/>
            </w:pPr>
            <w:r/>
            <w:r>
              <w:rPr>
                <w:sz w:val="18"/>
              </w:rPr>
              <w:t>10.1163/9789004379558_008</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Co-authoring Strategies in Business Research — Deirdre McQuillan — (2021)</w:t>
            </w:r>
          </w:p>
        </w:tc>
        <w:tc>
          <w:tcPr>
            <w:tcW w:type="dxa" w:w="2016"/>
            <w:shd w:val="clear" w:color="auto" w:fill="FFF5EB"/>
          </w:tcPr>
          <w:p>
            <w:pPr>
              <w:bidi w:val="0"/>
              <w:jc w:val="start"/>
            </w:pPr>
            <w:r/>
            <w:r>
              <w:rPr>
                <w:sz w:val="18"/>
              </w:rPr>
              <w:t>10.21427/mste-8658</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Zamfara International Journal of Education (ZIJE) VOLUME 5 NUMBER 3 — Editor in Chief Associate Professor Umar Sodangi et al. — (2025)</w:t>
            </w:r>
          </w:p>
        </w:tc>
        <w:tc>
          <w:tcPr>
            <w:tcW w:type="dxa" w:w="2016"/>
          </w:tcPr>
          <w:p>
            <w:pPr>
              <w:bidi w:val="0"/>
              <w:jc w:val="start"/>
            </w:pPr>
            <w:r/>
            <w:r>
              <w:rPr>
                <w:sz w:val="18"/>
              </w:rPr>
              <w:t>10.64348/zije.202554</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Between Intention and Reception: Textual Meaning-Making in Intersubjective Perspective — Dinkler — (2019)</w:t>
            </w:r>
          </w:p>
        </w:tc>
        <w:tc>
          <w:tcPr>
            <w:tcW w:type="dxa" w:w="2016"/>
            <w:shd w:val="clear" w:color="auto" w:fill="FFF5EB"/>
          </w:tcPr>
          <w:p>
            <w:pPr>
              <w:bidi w:val="0"/>
              <w:jc w:val="start"/>
            </w:pPr>
            <w:r/>
            <w:r>
              <w:rPr>
                <w:sz w:val="18"/>
              </w:rPr>
              <w:t>10.1163/9789004379558_007</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r>
        <w:trPr>
          <w:cantSplit/>
        </w:trPr>
        <w:tc>
          <w:tcPr>
            <w:tcW w:type="dxa" w:w="4176"/>
          </w:tcPr>
          <w:p>
            <w:pPr>
              <w:bidi w:val="0"/>
              <w:jc w:val="start"/>
            </w:pPr>
            <w:r/>
            <w:r>
              <w:rPr>
                <w:sz w:val="18"/>
              </w:rPr>
              <w:t>The Good That I Mean I Do Not Say: Meaning, Intention, Psychology and Romans 7 — Adam — (2019)</w:t>
            </w:r>
          </w:p>
        </w:tc>
        <w:tc>
          <w:tcPr>
            <w:tcW w:type="dxa" w:w="2016"/>
          </w:tcPr>
          <w:p>
            <w:pPr>
              <w:bidi w:val="0"/>
              <w:jc w:val="start"/>
            </w:pPr>
            <w:r/>
            <w:r>
              <w:rPr>
                <w:sz w:val="18"/>
              </w:rPr>
              <w:t>10.1163/9789004379558_012</w:t>
            </w:r>
          </w:p>
        </w:tc>
        <w:tc>
          <w:tcPr>
            <w:tcW w:type="dxa" w:w="1728"/>
          </w:tcPr>
          <w:p>
            <w:pPr>
              <w:bidi w:val="0"/>
              <w:jc w:val="start"/>
            </w:pPr>
            <w:r/>
            <w:r>
              <w:rPr>
                <w:sz w:val="18"/>
              </w:rPr>
              <w:t>Focused search</w:t>
            </w:r>
          </w:p>
        </w:tc>
        <w:tc>
          <w:tcPr>
            <w:tcW w:type="dxa" w:w="2592"/>
          </w:tcPr>
          <w:p>
            <w:pPr>
              <w:bidi w:val="0"/>
              <w:jc w:val="start"/>
            </w:pPr>
            <w:r/>
            <w:r>
              <w:rPr>
                <w:sz w:val="18"/>
              </w:rPr>
              <w:t>Passed screening; another source was used instead</w:t>
            </w:r>
          </w:p>
        </w:tc>
      </w:tr>
      <w:tr>
        <w:trPr>
          <w:cantSplit/>
        </w:trPr>
        <w:tc>
          <w:tcPr>
            <w:tcW w:type="dxa" w:w="4176"/>
            <w:shd w:val="clear" w:color="auto" w:fill="FFF5EB"/>
          </w:tcPr>
          <w:p>
            <w:pPr>
              <w:bidi w:val="0"/>
              <w:jc w:val="start"/>
            </w:pPr>
            <w:r/>
            <w:r>
              <w:rPr>
                <w:sz w:val="18"/>
              </w:rPr>
              <w:t>The Concept of Originality — Alamri — (2025)</w:t>
            </w:r>
          </w:p>
        </w:tc>
        <w:tc>
          <w:tcPr>
            <w:tcW w:type="dxa" w:w="2016"/>
            <w:shd w:val="clear" w:color="auto" w:fill="FFF5EB"/>
          </w:tcPr>
          <w:p>
            <w:pPr>
              <w:bidi w:val="0"/>
              <w:jc w:val="start"/>
            </w:pPr>
            <w:r/>
            <w:r>
              <w:rPr>
                <w:sz w:val="18"/>
              </w:rPr>
              <w:t>10.4324/9781003586555-6</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Passed screening; another source was used instead</w:t>
            </w:r>
          </w:p>
        </w:tc>
      </w:tr>
    </w:tbl>
    <w:p/>
    <w:p>
      <w:pPr>
        <w:jc w:val="left"/>
      </w:pPr>
      <w:r>
        <w:rPr>
          <w:rFonts w:ascii="Times New Roman" w:hAnsi="Times New Roman"/>
          <w:b/>
          <w:sz w:val="22"/>
        </w:rPr>
        <w:t>Could not be verified</w:t>
      </w:r>
    </w:p>
    <w:tbl>
      <w:tblPr>
        <w:tblStyle w:val="TableGrid"/>
        <w:tblW w:type="auto" w:w="0"/>
        <w:jc w:val="center"/>
        <w:tblLook w:firstColumn="1" w:firstRow="1" w:lastColumn="0" w:lastRow="0" w:noHBand="0" w:noVBand="1" w:val="04A0"/>
        <w:tblBorders>
          <w:top w:val="single" w:sz="4" w:space="0" w:color="E06D00"/>
          <w:left w:val="single" w:sz="4" w:space="0" w:color="E06D00"/>
          <w:bottom w:val="single" w:sz="4" w:space="0" w:color="E06D00"/>
          <w:right w:val="single" w:sz="4" w:space="0" w:color="E06D00"/>
          <w:insideH w:val="single" w:sz="4" w:space="0" w:color="FFE8CC"/>
          <w:insideV w:val="single" w:sz="4" w:space="0" w:color="FFE8CC"/>
        </w:tblBorders>
      </w:tblPr>
      <w:tblGrid>
        <w:gridCol w:w="2160"/>
        <w:gridCol w:w="2160"/>
        <w:gridCol w:w="2160"/>
        <w:gridCol w:w="2160"/>
      </w:tblGrid>
      <w:tr>
        <w:trPr>
          <w:tblHeader/>
          <w:cantSplit/>
        </w:trPr>
        <w:tc>
          <w:tcPr>
            <w:tcW w:type="dxa" w:w="4176"/>
            <w:shd w:val="clear" w:color="auto" w:fill="FF7A00"/>
          </w:tcPr>
          <w:p>
            <w:pPr>
              <w:bidi w:val="0"/>
              <w:jc w:val="start"/>
            </w:pPr>
            <w:r/>
            <w:r>
              <w:rPr>
                <w:b/>
                <w:color w:val="FFFFFF"/>
                <w:sz w:val="18"/>
              </w:rPr>
              <w:t>Source</w:t>
            </w:r>
          </w:p>
        </w:tc>
        <w:tc>
          <w:tcPr>
            <w:tcW w:type="dxa" w:w="2016"/>
            <w:shd w:val="clear" w:color="auto" w:fill="FF7A00"/>
          </w:tcPr>
          <w:p>
            <w:pPr>
              <w:bidi w:val="0"/>
              <w:jc w:val="start"/>
            </w:pPr>
            <w:r/>
            <w:r>
              <w:rPr>
                <w:b/>
                <w:color w:val="FFFFFF"/>
                <w:sz w:val="18"/>
              </w:rPr>
              <w:t>DOI</w:t>
            </w:r>
          </w:p>
        </w:tc>
        <w:tc>
          <w:tcPr>
            <w:tcW w:type="dxa" w:w="1728"/>
            <w:shd w:val="clear" w:color="auto" w:fill="FF7A00"/>
          </w:tcPr>
          <w:p>
            <w:pPr>
              <w:bidi w:val="0"/>
              <w:jc w:val="start"/>
            </w:pPr>
            <w:r/>
            <w:r>
              <w:rPr>
                <w:b/>
                <w:color w:val="FFFFFF"/>
                <w:sz w:val="18"/>
              </w:rPr>
              <w:t>Found via</w:t>
            </w:r>
          </w:p>
        </w:tc>
        <w:tc>
          <w:tcPr>
            <w:tcW w:type="dxa" w:w="2592"/>
            <w:shd w:val="clear" w:color="auto" w:fill="FF7A00"/>
          </w:tcPr>
          <w:p>
            <w:pPr>
              <w:bidi w:val="0"/>
              <w:jc w:val="start"/>
            </w:pPr>
            <w:r/>
            <w:r>
              <w:rPr>
                <w:b/>
                <w:color w:val="FFFFFF"/>
                <w:sz w:val="18"/>
              </w:rPr>
              <w:t>Why</w:t>
            </w:r>
          </w:p>
        </w:tc>
      </w:tr>
      <w:tr>
        <w:trPr>
          <w:cantSplit/>
        </w:trPr>
        <w:tc>
          <w:tcPr>
            <w:tcW w:type="dxa" w:w="4176"/>
          </w:tcPr>
          <w:p>
            <w:pPr>
              <w:bidi w:val="0"/>
              <w:jc w:val="start"/>
            </w:pPr>
            <w:r/>
            <w:r>
              <w:rPr>
                <w:sz w:val="18"/>
              </w:rPr>
              <w:t xml:space="preserve">Convention on the Protection and Promotion of the Diversity of </w:t>
              <w:br/>
              <w:t>Cultural Expressions — Michle Rioux et al. — (2006)</w:t>
            </w:r>
          </w:p>
        </w:tc>
        <w:tc>
          <w:tcPr>
            <w:tcW w:type="dxa" w:w="2016"/>
          </w:tcPr>
          <w:p>
            <w:pPr>
              <w:bidi w:val="0"/>
              <w:jc w:val="start"/>
            </w:pPr>
            <w:r/>
            <w:r>
              <w:rPr>
                <w:sz w:val="18"/>
              </w:rPr>
              <w:t>10.1017/s0940739106060218</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Creativity and Its Discontents — Laikwan Pang — (2012)</w:t>
            </w:r>
          </w:p>
        </w:tc>
        <w:tc>
          <w:tcPr>
            <w:tcW w:type="dxa" w:w="2016"/>
            <w:shd w:val="clear" w:color="auto" w:fill="FFF5EB"/>
          </w:tcPr>
          <w:p>
            <w:pPr>
              <w:bidi w:val="0"/>
              <w:jc w:val="start"/>
            </w:pPr>
            <w:r/>
            <w:r>
              <w:rPr>
                <w:sz w:val="18"/>
              </w:rPr>
              <w:t>10.1215/9780822394587</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Originality in UK Copyright Law: The Old “Skill and Labour” Doctrine Under Pressure — Andreas Rahmatian — (2013)</w:t>
            </w:r>
          </w:p>
        </w:tc>
        <w:tc>
          <w:tcPr>
            <w:tcW w:type="dxa" w:w="2016"/>
          </w:tcPr>
          <w:p>
            <w:pPr>
              <w:bidi w:val="0"/>
              <w:jc w:val="start"/>
            </w:pPr>
            <w:r/>
            <w:r>
              <w:rPr>
                <w:sz w:val="18"/>
              </w:rPr>
              <w:t>10.1007/s40319-012-0003-4</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The effect of author set size and data size in authorship attribution — Luyckx et al. — (2010)</w:t>
            </w:r>
          </w:p>
        </w:tc>
        <w:tc>
          <w:tcPr>
            <w:tcW w:type="dxa" w:w="2016"/>
            <w:shd w:val="clear" w:color="auto" w:fill="FFF5EB"/>
          </w:tcPr>
          <w:p>
            <w:pPr>
              <w:bidi w:val="0"/>
              <w:jc w:val="start"/>
            </w:pPr>
            <w:r/>
            <w:r>
              <w:rPr>
                <w:sz w:val="18"/>
              </w:rPr>
              <w:t>10.1093/llc/fqq013</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Text and Genre in Reconstruction: Effects of Digitalization on Ideas, Behaviours, Products and Institutions — Willard McCarty — (2010)</w:t>
            </w:r>
          </w:p>
        </w:tc>
        <w:tc>
          <w:tcPr>
            <w:tcW w:type="dxa" w:w="2016"/>
          </w:tcPr>
          <w:p>
            <w:pPr>
              <w:bidi w:val="0"/>
              <w:jc w:val="start"/>
            </w:pPr>
            <w:r/>
            <w:r>
              <w:rPr>
                <w:sz w:val="18"/>
              </w:rPr>
              <w:t>10.11647/obp.0008</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Genre and interpretation — Auken — (2013)</w:t>
            </w:r>
          </w:p>
        </w:tc>
        <w:tc>
          <w:tcPr>
            <w:tcW w:type="dxa" w:w="2016"/>
            <w:shd w:val="clear" w:color="auto" w:fill="FFF5EB"/>
          </w:tcPr>
          <w:p>
            <w:pPr>
              <w:bidi w:val="0"/>
              <w:jc w:val="start"/>
            </w:pPr>
            <w:r/>
            <w:r>
              <w:rPr>
                <w:sz w:val="18"/>
              </w:rPr>
              <w:t>10.4324/9780203962619-11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Originality, imitation, and plagiarism: teaching writing in the digital age — Eisner et al. — (2008)</w:t>
            </w:r>
          </w:p>
        </w:tc>
        <w:tc>
          <w:tcPr>
            <w:tcW w:type="dxa" w:w="2016"/>
          </w:tcPr>
          <w:p>
            <w:pPr>
              <w:bidi w:val="0"/>
              <w:jc w:val="start"/>
            </w:pPr>
            <w:r/>
            <w:r>
              <w:rPr>
                <w:sz w:val="18"/>
              </w:rPr>
              <w:t>10.5860/choice.46-0114</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Sign Here! : Handwriting in the Age of New Media — van Dijck et al. — (2006)</w:t>
            </w:r>
          </w:p>
        </w:tc>
        <w:tc>
          <w:tcPr>
            <w:tcW w:type="dxa" w:w="2016"/>
            <w:shd w:val="clear" w:color="auto" w:fill="FFF5EB"/>
          </w:tcPr>
          <w:p>
            <w:pPr>
              <w:bidi w:val="0"/>
              <w:jc w:val="start"/>
            </w:pPr>
            <w:r/>
            <w:r>
              <w:rPr>
                <w:sz w:val="18"/>
              </w:rPr>
              <w:t>10.5117/9789053568163</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Machine Learning Methods for Stylometry — Savoy — (2020)</w:t>
            </w:r>
          </w:p>
        </w:tc>
        <w:tc>
          <w:tcPr>
            <w:tcW w:type="dxa" w:w="2016"/>
          </w:tcPr>
          <w:p>
            <w:pPr>
              <w:bidi w:val="0"/>
              <w:jc w:val="start"/>
            </w:pPr>
            <w:r/>
            <w:r>
              <w:rPr>
                <w:sz w:val="18"/>
              </w:rPr>
              <w:t>10.1007/978-3-030-53360-1</w:t>
            </w:r>
          </w:p>
        </w:tc>
        <w:tc>
          <w:tcPr>
            <w:tcW w:type="dxa" w:w="1728"/>
          </w:tcPr>
          <w:p>
            <w:pPr>
              <w:bidi w:val="0"/>
              <w:jc w:val="start"/>
            </w:pPr>
            <w:r/>
            <w:r>
              <w:rPr>
                <w:sz w:val="18"/>
              </w:rPr>
              <w:t>Focused search</w:t>
            </w:r>
          </w:p>
        </w:tc>
        <w:tc>
          <w:tcPr>
            <w:tcW w:type="dxa" w:w="2592"/>
          </w:tcPr>
          <w:p>
            <w:pPr>
              <w:bidi w:val="0"/>
              <w:jc w:val="start"/>
            </w:pPr>
            <w:r/>
            <w:r>
              <w:rPr>
                <w:sz w:val="18"/>
              </w:rPr>
              <w:t>Details did not match a verified record</w:t>
            </w:r>
          </w:p>
        </w:tc>
      </w:tr>
      <w:tr>
        <w:trPr>
          <w:cantSplit/>
        </w:trPr>
        <w:tc>
          <w:tcPr>
            <w:tcW w:type="dxa" w:w="4176"/>
            <w:shd w:val="clear" w:color="auto" w:fill="FFF5EB"/>
          </w:tcPr>
          <w:p>
            <w:pPr>
              <w:bidi w:val="0"/>
              <w:jc w:val="start"/>
            </w:pPr>
            <w:r/>
            <w:r>
              <w:rPr>
                <w:sz w:val="18"/>
              </w:rPr>
              <w:t>That Wonderful Composite Called Author — (:unkn) unknown — (2014)</w:t>
            </w:r>
          </w:p>
        </w:tc>
        <w:tc>
          <w:tcPr>
            <w:tcW w:type="dxa" w:w="2016"/>
            <w:shd w:val="clear" w:color="auto" w:fill="FFF5EB"/>
          </w:tcPr>
          <w:p>
            <w:pPr>
              <w:bidi w:val="0"/>
              <w:jc w:val="start"/>
            </w:pPr>
            <w:r/>
            <w:r>
              <w:rPr>
                <w:sz w:val="18"/>
              </w:rPr>
              <w:t>10.1163/9789004279421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‘Nothing is the same as something else’: significant properties and notions of identity and originality — Geoffrey Yeo — (2010)</w:t>
            </w:r>
          </w:p>
        </w:tc>
        <w:tc>
          <w:tcPr>
            <w:tcW w:type="dxa" w:w="2016"/>
          </w:tcPr>
          <w:p>
            <w:pPr>
              <w:bidi w:val="0"/>
              <w:jc w:val="start"/>
            </w:pPr>
            <w:r/>
            <w:r>
              <w:rPr>
                <w:sz w:val="18"/>
              </w:rPr>
              <w:t>10.1007/s10502-010-9119-9</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When Copyright Law and Science Collide: Empowering Digitally Integrated Research Methods on a Global Scale — Reichman et al. — (2012)</w:t>
            </w:r>
          </w:p>
        </w:tc>
        <w:tc>
          <w:tcPr>
            <w:tcW w:type="dxa" w:w="2016"/>
            <w:shd w:val="clear" w:color="auto" w:fill="FFF5EB"/>
          </w:tcPr>
          <w:p>
            <w:pPr>
              <w:bidi w:val="0"/>
              <w:jc w:val="start"/>
            </w:pPr>
            <w:r/>
            <w:r>
              <w:rPr>
                <w:sz w:val="18"/>
              </w:rPr>
              <w:t>10.24926/265535.1308</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Installation Art and the Museum: Presentation and Conservation of Changing Artworks — V.E.J.P. van Saaze — (2013)</w:t>
            </w:r>
          </w:p>
        </w:tc>
        <w:tc>
          <w:tcPr>
            <w:tcW w:type="dxa" w:w="2016"/>
          </w:tcPr>
          <w:p>
            <w:pPr>
              <w:bidi w:val="0"/>
              <w:jc w:val="start"/>
            </w:pPr>
            <w:r/>
            <w:r>
              <w:rPr>
                <w:sz w:val="18"/>
              </w:rPr>
              <w:t>10.26530/oapen_449202</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Authorship as cultural performance: new perspectives in authorship studies — Ingo Berensmeyer et al. — (2012)</w:t>
            </w:r>
          </w:p>
        </w:tc>
        <w:tc>
          <w:tcPr>
            <w:tcW w:type="dxa" w:w="2016"/>
            <w:shd w:val="clear" w:color="auto" w:fill="FFF5EB"/>
          </w:tcPr>
          <w:p>
            <w:pPr>
              <w:bidi w:val="0"/>
              <w:jc w:val="start"/>
            </w:pPr>
            <w:r/>
            <w:r>
              <w:rPr>
                <w:sz w:val="18"/>
              </w:rPr>
              <w:t>—</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The Birth of the Authornym: Authorship, Pseudonymity, and Trademark Law — Laura A. Heymann — (2004)</w:t>
            </w:r>
          </w:p>
        </w:tc>
        <w:tc>
          <w:tcPr>
            <w:tcW w:type="dxa" w:w="2016"/>
          </w:tcPr>
          <w:p>
            <w:pPr>
              <w:bidi w:val="0"/>
              <w:jc w:val="start"/>
            </w:pPr>
            <w:r/>
            <w:r>
              <w:rPr>
                <w:sz w:val="18"/>
              </w:rPr>
              <w:t>—</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The Transition Experience to Boarding School for Male Aboriginal Secondary School Students from Regional and Remote Communities across Western Australia. — David Mander — (2012)</w:t>
            </w:r>
          </w:p>
        </w:tc>
        <w:tc>
          <w:tcPr>
            <w:tcW w:type="dxa" w:w="2016"/>
            <w:shd w:val="clear" w:color="auto" w:fill="FFF5EB"/>
          </w:tcPr>
          <w:p>
            <w:pPr>
              <w:bidi w:val="0"/>
              <w:jc w:val="start"/>
            </w:pPr>
            <w:r/>
            <w:r>
              <w:rPr>
                <w:sz w:val="18"/>
              </w:rPr>
              <w:t>—</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Adrift in the Intertext: Authorship and Audience Recoding Rights - Comment on Robert H. Rotstein, Beyond Metaphor: Copyright Infringement and the Fiction of the Work — Keith Aoki — (1993)</w:t>
            </w:r>
          </w:p>
        </w:tc>
        <w:tc>
          <w:tcPr>
            <w:tcW w:type="dxa" w:w="2016"/>
          </w:tcPr>
          <w:p>
            <w:pPr>
              <w:bidi w:val="0"/>
              <w:jc w:val="start"/>
            </w:pPr>
            <w:r/>
            <w:r>
              <w:rPr>
                <w:sz w:val="18"/>
              </w:rPr>
              <w:t>—</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Double-Edged Imitation : Theories and Practices of Pastiche in Literature — Sanna Nyqvist — (2010)</w:t>
            </w:r>
          </w:p>
        </w:tc>
        <w:tc>
          <w:tcPr>
            <w:tcW w:type="dxa" w:w="2016"/>
            <w:shd w:val="clear" w:color="auto" w:fill="FFF5EB"/>
          </w:tcPr>
          <w:p>
            <w:pPr>
              <w:bidi w:val="0"/>
              <w:jc w:val="start"/>
            </w:pPr>
            <w:r/>
            <w:r>
              <w:rPr>
                <w:sz w:val="18"/>
              </w:rPr>
              <w:t>—</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Emmanuel C. Bourbouhakis The End of ἐπίδειξις. Authorial Identity and Authorial Intention in Michael Chōniatēs’ Πρὸς τοὺς αἰτιωμένους τὸ ἀφιλένδεικτον — Bourbouhakis — (2014)</w:t>
            </w:r>
          </w:p>
        </w:tc>
        <w:tc>
          <w:tcPr>
            <w:tcW w:type="dxa" w:w="2016"/>
          </w:tcPr>
          <w:p>
            <w:pPr>
              <w:bidi w:val="0"/>
              <w:jc w:val="start"/>
            </w:pPr>
            <w:r/>
            <w:r>
              <w:rPr>
                <w:sz w:val="18"/>
              </w:rPr>
              <w:t>10.1515/9781614515197.201</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Authorship and Text-making in Early China — Hanmo Zhang — (2018)</w:t>
            </w:r>
          </w:p>
        </w:tc>
        <w:tc>
          <w:tcPr>
            <w:tcW w:type="dxa" w:w="2016"/>
            <w:shd w:val="clear" w:color="auto" w:fill="FFF5EB"/>
          </w:tcPr>
          <w:p>
            <w:pPr>
              <w:bidi w:val="0"/>
              <w:jc w:val="start"/>
            </w:pPr>
            <w:r/>
            <w:r>
              <w:rPr>
                <w:sz w:val="18"/>
              </w:rPr>
              <w:t>10.1515/9781501505133</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The Value of New Scientific Communication Models for Chemistry — Theresa Velden et al. — (2009)</w:t>
            </w:r>
          </w:p>
        </w:tc>
        <w:tc>
          <w:tcPr>
            <w:tcW w:type="dxa" w:w="2016"/>
          </w:tcPr>
          <w:p>
            <w:pPr>
              <w:bidi w:val="0"/>
              <w:jc w:val="start"/>
            </w:pPr>
            <w:r/>
            <w:r>
              <w:rPr>
                <w:sz w:val="18"/>
              </w:rPr>
              <w:t>—</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More than the sum of the parts : shared representations in collaborative design interaction — Benjamin G. Shaw — (2007)</w:t>
            </w:r>
          </w:p>
        </w:tc>
        <w:tc>
          <w:tcPr>
            <w:tcW w:type="dxa" w:w="2016"/>
            <w:shd w:val="clear" w:color="auto" w:fill="FFF5EB"/>
          </w:tcPr>
          <w:p>
            <w:pPr>
              <w:bidi w:val="0"/>
              <w:jc w:val="start"/>
            </w:pPr>
            <w:r/>
            <w:r>
              <w:rPr>
                <w:sz w:val="18"/>
              </w:rPr>
              <w:t>—</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Biblical Exegesis without Authorial Intention? — Breu — (2019)</w:t>
            </w:r>
          </w:p>
        </w:tc>
        <w:tc>
          <w:tcPr>
            <w:tcW w:type="dxa" w:w="2016"/>
          </w:tcPr>
          <w:p>
            <w:pPr>
              <w:bidi w:val="0"/>
              <w:jc w:val="start"/>
            </w:pPr>
            <w:r/>
            <w:r>
              <w:rPr>
                <w:sz w:val="18"/>
              </w:rPr>
              <w:t>10.1163/9789004379558</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The Apt Curation Model: An Epistemic Virtue Theory of AI-Assisted Authorship — Tiegue Vieira Rodrigues — (2026)</w:t>
            </w:r>
          </w:p>
        </w:tc>
        <w:tc>
          <w:tcPr>
            <w:tcW w:type="dxa" w:w="2016"/>
            <w:shd w:val="clear" w:color="auto" w:fill="FFF5EB"/>
          </w:tcPr>
          <w:p>
            <w:pPr>
              <w:bidi w:val="0"/>
              <w:jc w:val="start"/>
            </w:pPr>
            <w:r/>
            <w:r>
              <w:rPr>
                <w:sz w:val="18"/>
              </w:rPr>
              <w:t>10.1007/s13347-026-01038-z</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Copyright Treatment of Freelance Work in the Digital Era — Giuseppina D’Agostino — (2002)</w:t>
            </w:r>
          </w:p>
        </w:tc>
        <w:tc>
          <w:tcPr>
            <w:tcW w:type="dxa" w:w="2016"/>
          </w:tcPr>
          <w:p>
            <w:pPr>
              <w:bidi w:val="0"/>
              <w:jc w:val="start"/>
            </w:pPr>
            <w:r/>
            <w:r>
              <w:rPr>
                <w:sz w:val="18"/>
              </w:rPr>
              <w:t>—</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Intention and Interpretation: A Short History — Ralf Grüttemeier — (2022)</w:t>
            </w:r>
          </w:p>
        </w:tc>
        <w:tc>
          <w:tcPr>
            <w:tcW w:type="dxa" w:w="2016"/>
            <w:shd w:val="clear" w:color="auto" w:fill="FFF5EB"/>
          </w:tcPr>
          <w:p>
            <w:pPr>
              <w:bidi w:val="0"/>
              <w:jc w:val="start"/>
            </w:pPr>
            <w:r/>
            <w:r>
              <w:rPr>
                <w:sz w:val="18"/>
              </w:rPr>
              <w:t>10.1515/9783110767858</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Now About All These Women in the Swedish Film Industry — Wallenberg et al. — (2023)</w:t>
            </w:r>
          </w:p>
        </w:tc>
        <w:tc>
          <w:tcPr>
            <w:tcW w:type="dxa" w:w="2016"/>
          </w:tcPr>
          <w:p>
            <w:pPr>
              <w:bidi w:val="0"/>
              <w:jc w:val="start"/>
            </w:pPr>
            <w:r/>
            <w:r>
              <w:rPr>
                <w:sz w:val="18"/>
              </w:rPr>
              <w:t>10.5040/9781501366185</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Authoring collaborative projects : a study of intellectual property and free and open source software (FOSS) licensing schemes from a relational contract perspective — Chen Zhu — (2011)</w:t>
            </w:r>
          </w:p>
        </w:tc>
        <w:tc>
          <w:tcPr>
            <w:tcW w:type="dxa" w:w="2016"/>
            <w:shd w:val="clear" w:color="auto" w:fill="FFF5EB"/>
          </w:tcPr>
          <w:p>
            <w:pPr>
              <w:bidi w:val="0"/>
              <w:jc w:val="start"/>
            </w:pPr>
            <w:r/>
            <w:r>
              <w:rPr>
                <w:sz w:val="18"/>
              </w:rPr>
              <w:t>—</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Authorship Attribution using Tf-Idf weight with Machine Learning Approaches — Mahor et al. — (2023)</w:t>
            </w:r>
          </w:p>
        </w:tc>
        <w:tc>
          <w:tcPr>
            <w:tcW w:type="dxa" w:w="2016"/>
          </w:tcPr>
          <w:p>
            <w:pPr>
              <w:bidi w:val="0"/>
              <w:jc w:val="start"/>
            </w:pPr>
            <w:r/>
            <w:r>
              <w:rPr>
                <w:sz w:val="18"/>
              </w:rPr>
              <w:t>10.21203/rs.3.rs-2707585/v1</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From owning to owning up : authorial rights and rhetorical responsibilities — Susan Thompson West — (1997)</w:t>
            </w:r>
          </w:p>
        </w:tc>
        <w:tc>
          <w:tcPr>
            <w:tcW w:type="dxa" w:w="2016"/>
            <w:shd w:val="clear" w:color="auto" w:fill="FFF5EB"/>
          </w:tcPr>
          <w:p>
            <w:pPr>
              <w:bidi w:val="0"/>
              <w:jc w:val="start"/>
            </w:pPr>
            <w:r/>
            <w:r>
              <w:rPr>
                <w:sz w:val="18"/>
              </w:rPr>
              <w:t>—</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Public Perceptions of Generative AI in Creative Industries: A Reddit-Based Text Mining Study — Bervar et al. — (2026)</w:t>
            </w:r>
          </w:p>
        </w:tc>
        <w:tc>
          <w:tcPr>
            <w:tcW w:type="dxa" w:w="2016"/>
          </w:tcPr>
          <w:p>
            <w:pPr>
              <w:bidi w:val="0"/>
              <w:jc w:val="start"/>
            </w:pPr>
            <w:r/>
            <w:r>
              <w:rPr>
                <w:sz w:val="18"/>
              </w:rPr>
              <w:t>10.3390/systems14010116</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The Names of Minimalism: Authorship and the Historiography of Dispute in New York Minimalism, 1960–1982 — Patrick Nickleson — (2017)</w:t>
            </w:r>
          </w:p>
        </w:tc>
        <w:tc>
          <w:tcPr>
            <w:tcW w:type="dxa" w:w="2016"/>
            <w:shd w:val="clear" w:color="auto" w:fill="FFF5EB"/>
          </w:tcPr>
          <w:p>
            <w:pPr>
              <w:bidi w:val="0"/>
              <w:jc w:val="start"/>
            </w:pPr>
            <w:r/>
            <w:r>
              <w:rPr>
                <w:sz w:val="18"/>
              </w:rPr>
              <w:t>10.3998/mpub.10207791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Details did not match a verified record</w:t>
            </w:r>
          </w:p>
        </w:tc>
      </w:tr>
      <w:tr>
        <w:trPr>
          <w:cantSplit/>
        </w:trPr>
        <w:tc>
          <w:tcPr>
            <w:tcW w:type="dxa" w:w="4176"/>
          </w:tcPr>
          <w:p>
            <w:pPr>
              <w:bidi w:val="0"/>
              <w:jc w:val="start"/>
            </w:pPr>
            <w:r/>
            <w:r>
              <w:rPr>
                <w:sz w:val="18"/>
              </w:rPr>
              <w:t>Elena Ferrante: A Case Study in Authorship Attribution — Savoy — (2020)</w:t>
            </w:r>
          </w:p>
        </w:tc>
        <w:tc>
          <w:tcPr>
            <w:tcW w:type="dxa" w:w="2016"/>
          </w:tcPr>
          <w:p>
            <w:pPr>
              <w:bidi w:val="0"/>
              <w:jc w:val="start"/>
            </w:pPr>
            <w:r/>
            <w:r>
              <w:rPr>
                <w:sz w:val="18"/>
              </w:rPr>
              <w:t>10.1007/978-3-030-53360-1_8</w:t>
            </w:r>
          </w:p>
        </w:tc>
        <w:tc>
          <w:tcPr>
            <w:tcW w:type="dxa" w:w="1728"/>
          </w:tcPr>
          <w:p>
            <w:pPr>
              <w:bidi w:val="0"/>
              <w:jc w:val="start"/>
            </w:pPr>
            <w:r/>
            <w:r>
              <w:rPr>
                <w:sz w:val="18"/>
              </w:rPr>
              <w:t>Focused search</w:t>
            </w:r>
          </w:p>
        </w:tc>
        <w:tc>
          <w:tcPr>
            <w:tcW w:type="dxa" w:w="2592"/>
          </w:tcPr>
          <w:p>
            <w:pPr>
              <w:bidi w:val="0"/>
              <w:jc w:val="start"/>
            </w:pPr>
            <w:r/>
            <w:r>
              <w:rPr>
                <w:sz w:val="18"/>
              </w:rPr>
              <w:t>Details did not match a verified record</w:t>
            </w:r>
          </w:p>
        </w:tc>
      </w:tr>
      <w:tr>
        <w:trPr>
          <w:cantSplit/>
        </w:trPr>
        <w:tc>
          <w:tcPr>
            <w:tcW w:type="dxa" w:w="4176"/>
            <w:shd w:val="clear" w:color="auto" w:fill="FFF5EB"/>
          </w:tcPr>
          <w:p>
            <w:pPr>
              <w:bidi w:val="0"/>
              <w:jc w:val="start"/>
            </w:pPr>
            <w:r/>
            <w:r>
              <w:rPr>
                <w:sz w:val="18"/>
              </w:rPr>
              <w:t>Volume 44 (2024) — (2024)</w:t>
            </w:r>
          </w:p>
        </w:tc>
        <w:tc>
          <w:tcPr>
            <w:tcW w:type="dxa" w:w="2016"/>
            <w:shd w:val="clear" w:color="auto" w:fill="FFF5EB"/>
          </w:tcPr>
          <w:p>
            <w:pPr>
              <w:bidi w:val="0"/>
              <w:jc w:val="start"/>
            </w:pPr>
            <w:r/>
            <w:r>
              <w:rPr>
                <w:sz w:val="18"/>
              </w:rPr>
              <w:t>10.33675/spell/2024/44/1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Cross-linguistic Authorship Attribution and Author Profiling. Is Machine Translation the Solution? — Mikros et al. — (2022)</w:t>
            </w:r>
          </w:p>
        </w:tc>
        <w:tc>
          <w:tcPr>
            <w:tcW w:type="dxa" w:w="2016"/>
          </w:tcPr>
          <w:p>
            <w:pPr>
              <w:bidi w:val="0"/>
              <w:jc w:val="start"/>
            </w:pPr>
            <w:r/>
            <w:r>
              <w:rPr>
                <w:sz w:val="18"/>
              </w:rPr>
              <w:t>10.21203/rs.3.rs-2129774/v1</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Authorial Intention and Authorial Ambition</w:t>
            </w:r>
          </w:p>
        </w:tc>
        <w:tc>
          <w:tcPr>
            <w:tcW w:type="dxa" w:w="2016"/>
            <w:shd w:val="clear" w:color="auto" w:fill="FFF5EB"/>
          </w:tcPr>
          <w:p>
            <w:pPr>
              <w:bidi w:val="0"/>
              <w:jc w:val="start"/>
            </w:pPr>
            <w:r/>
            <w:r>
              <w:rPr>
                <w:sz w:val="18"/>
              </w:rPr>
              <w:t>10.2307/j.ctt3fgp8h.10</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Authorship Without an Author: Rethinking Copyright Ownership in the Age of Generative AI — Shafiq — (2026)</w:t>
            </w:r>
          </w:p>
        </w:tc>
        <w:tc>
          <w:tcPr>
            <w:tcW w:type="dxa" w:w="2016"/>
          </w:tcPr>
          <w:p>
            <w:pPr>
              <w:bidi w:val="0"/>
              <w:jc w:val="start"/>
            </w:pPr>
            <w:r/>
            <w:r>
              <w:rPr>
                <w:sz w:val="18"/>
              </w:rPr>
              <w:t>10.2139/ssrn.6917558</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Generative AI in Cybersecurity: A Systematic Literature Review and Meta-Analysis — Tumpa et al. — (2026)</w:t>
            </w:r>
          </w:p>
        </w:tc>
        <w:tc>
          <w:tcPr>
            <w:tcW w:type="dxa" w:w="2016"/>
            <w:shd w:val="clear" w:color="auto" w:fill="FFF5EB"/>
          </w:tcPr>
          <w:p>
            <w:pPr>
              <w:bidi w:val="0"/>
              <w:jc w:val="start"/>
            </w:pPr>
            <w:r/>
            <w:r>
              <w:rPr>
                <w:sz w:val="18"/>
              </w:rPr>
              <w:t>10.20944/preprints202604.0324.v1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Honorary authorship is highly prevalent in health sciences: systematic review and meta-analysis of surveys — Reynders et al. — (2023)</w:t>
            </w:r>
          </w:p>
        </w:tc>
        <w:tc>
          <w:tcPr>
            <w:tcW w:type="dxa" w:w="2016"/>
          </w:tcPr>
          <w:p>
            <w:pPr>
              <w:bidi w:val="0"/>
              <w:jc w:val="start"/>
            </w:pPr>
            <w:r/>
            <w:r>
              <w:rPr>
                <w:sz w:val="18"/>
              </w:rPr>
              <w:t>10.21203/rs.3.rs-3321504/v1</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Review for "Trends in Equal-Contribution Authorship: A Large-Scale Bibliometric Analysis of Biomedical Literature" — (2025)</w:t>
            </w:r>
          </w:p>
        </w:tc>
        <w:tc>
          <w:tcPr>
            <w:tcW w:type="dxa" w:w="2016"/>
            <w:shd w:val="clear" w:color="auto" w:fill="FFF5EB"/>
          </w:tcPr>
          <w:p>
            <w:pPr>
              <w:bidi w:val="0"/>
              <w:jc w:val="start"/>
            </w:pPr>
            <w:r/>
            <w:r>
              <w:rPr>
                <w:sz w:val="18"/>
              </w:rPr>
              <w:t>10.1162/qss.a.476/v1/review2</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Re-Defining Copyright Originality in the Age of AI: Reconciling Creativity, Labour, and Human Authorship — Odugbemi — (2026)</w:t>
            </w:r>
          </w:p>
        </w:tc>
        <w:tc>
          <w:tcPr>
            <w:tcW w:type="dxa" w:w="2016"/>
          </w:tcPr>
          <w:p>
            <w:pPr>
              <w:bidi w:val="0"/>
              <w:jc w:val="start"/>
            </w:pPr>
            <w:r/>
            <w:r>
              <w:rPr>
                <w:sz w:val="18"/>
              </w:rPr>
              <w:t>10.2139/ssrn.6179858</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When AI Writes, Who Is the Author? Authorship as Governance in Generative AI — Liang — (2026)</w:t>
            </w:r>
          </w:p>
        </w:tc>
        <w:tc>
          <w:tcPr>
            <w:tcW w:type="dxa" w:w="2016"/>
            <w:shd w:val="clear" w:color="auto" w:fill="FFF5EB"/>
          </w:tcPr>
          <w:p>
            <w:pPr>
              <w:bidi w:val="0"/>
              <w:jc w:val="start"/>
            </w:pPr>
            <w:r/>
            <w:r>
              <w:rPr>
                <w:sz w:val="18"/>
              </w:rPr>
              <w:t>10.2139/ssrn.6233898</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Review for "Trends in Equal-Contribution Authorship: A Large-Scale Bibliometric Analysis of Biomedical Literature" — (2025)</w:t>
            </w:r>
          </w:p>
        </w:tc>
        <w:tc>
          <w:tcPr>
            <w:tcW w:type="dxa" w:w="2016"/>
          </w:tcPr>
          <w:p>
            <w:pPr>
              <w:bidi w:val="0"/>
              <w:jc w:val="start"/>
            </w:pPr>
            <w:r/>
            <w:r>
              <w:rPr>
                <w:sz w:val="18"/>
              </w:rPr>
              <w:t>10.1162/qss.a.476/v2/review1</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Review for "Trends in Equal-Contribution Authorship: A Large-Scale Bibliometric Analysis of Biomedical Literature" — (2026)</w:t>
            </w:r>
          </w:p>
        </w:tc>
        <w:tc>
          <w:tcPr>
            <w:tcW w:type="dxa" w:w="2016"/>
            <w:shd w:val="clear" w:color="auto" w:fill="FFF5EB"/>
          </w:tcPr>
          <w:p>
            <w:pPr>
              <w:bidi w:val="0"/>
              <w:jc w:val="start"/>
            </w:pPr>
            <w:r/>
            <w:r>
              <w:rPr>
                <w:sz w:val="18"/>
              </w:rPr>
              <w:t>10.1162/qss.a.476/v3/review1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Review for "Trends in Equal-Contribution Authorship: A Large-Scale Bibliometric Analysis of Biomedical Literature" — (2025)</w:t>
            </w:r>
          </w:p>
        </w:tc>
        <w:tc>
          <w:tcPr>
            <w:tcW w:type="dxa" w:w="2016"/>
          </w:tcPr>
          <w:p>
            <w:pPr>
              <w:bidi w:val="0"/>
              <w:jc w:val="start"/>
            </w:pPr>
            <w:r/>
            <w:r>
              <w:rPr>
                <w:sz w:val="18"/>
              </w:rPr>
              <w:t>10.1162/qss.a.476/v1/review1</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Negotiated Augmentation: How Generative AI Reshapes Creative Workflows, Agency, and Authorship in Architecture and Design — Tu et al. — (2026)</w:t>
            </w:r>
          </w:p>
        </w:tc>
        <w:tc>
          <w:tcPr>
            <w:tcW w:type="dxa" w:w="2016"/>
            <w:shd w:val="clear" w:color="auto" w:fill="FFF5EB"/>
          </w:tcPr>
          <w:p>
            <w:pPr>
              <w:bidi w:val="0"/>
              <w:jc w:val="start"/>
            </w:pPr>
            <w:r/>
            <w:r>
              <w:rPr>
                <w:sz w:val="18"/>
              </w:rPr>
              <w:t>10.21203/rs.3.rs-8740007/v1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Human Creative Control: Rethinking Authorship in the Age of Generative AI — Donahue — (2026)</w:t>
            </w:r>
          </w:p>
        </w:tc>
        <w:tc>
          <w:tcPr>
            <w:tcW w:type="dxa" w:w="2016"/>
          </w:tcPr>
          <w:p>
            <w:pPr>
              <w:bidi w:val="0"/>
              <w:jc w:val="start"/>
            </w:pPr>
            <w:r/>
            <w:r>
              <w:rPr>
                <w:sz w:val="18"/>
              </w:rPr>
              <w:t>10.2139/ssrn.6531938</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&amp;lt;span&amp;gt;&amp;lt;b&amp;gt;Generative AI and Copyright Law: Human Authorship, Originality, and Comparative Perspectives&amp;lt;/b&amp;gt;&amp;lt;/span&amp;gt; — Bozbel — (2026)</w:t>
            </w:r>
          </w:p>
        </w:tc>
        <w:tc>
          <w:tcPr>
            <w:tcW w:type="dxa" w:w="2016"/>
            <w:shd w:val="clear" w:color="auto" w:fill="FFF5EB"/>
          </w:tcPr>
          <w:p>
            <w:pPr>
              <w:bidi w:val="0"/>
              <w:jc w:val="start"/>
            </w:pPr>
            <w:r/>
            <w:r>
              <w:rPr>
                <w:sz w:val="18"/>
              </w:rPr>
              <w:t>10.2139/ssrn.6313438</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Authorship Without Authors: Rethinking Copyright and Personality Rights in the Age of Generative AI — Aravindhan — (2026)</w:t>
            </w:r>
          </w:p>
        </w:tc>
        <w:tc>
          <w:tcPr>
            <w:tcW w:type="dxa" w:w="2016"/>
          </w:tcPr>
          <w:p>
            <w:pPr>
              <w:bidi w:val="0"/>
              <w:jc w:val="start"/>
            </w:pPr>
            <w:r/>
            <w:r>
              <w:rPr>
                <w:sz w:val="18"/>
              </w:rPr>
              <w:t>10.2139/ssrn.6081206</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Reconceptualizing Authorship and Accountability in the Age of AI: A Legal-based Theoretical Framework for AI-Generated and Mediated Communication — Towne — (2024)</w:t>
            </w:r>
          </w:p>
        </w:tc>
        <w:tc>
          <w:tcPr>
            <w:tcW w:type="dxa" w:w="2016"/>
            <w:shd w:val="clear" w:color="auto" w:fill="FFF5EB"/>
          </w:tcPr>
          <w:p>
            <w:pPr>
              <w:bidi w:val="0"/>
              <w:jc w:val="start"/>
            </w:pPr>
            <w:r/>
            <w:r>
              <w:rPr>
                <w:sz w:val="18"/>
              </w:rPr>
              <w:t>10.31219/osf.io/teymn</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Prompt-Driven Conceptual Modeling: A Framework for Generative Theoretical Prototyping in the Age of AI — Wooden — (2025)</w:t>
            </w:r>
          </w:p>
        </w:tc>
        <w:tc>
          <w:tcPr>
            <w:tcW w:type="dxa" w:w="2016"/>
          </w:tcPr>
          <w:p>
            <w:pPr>
              <w:bidi w:val="0"/>
              <w:jc w:val="start"/>
            </w:pPr>
            <w:r/>
            <w:r>
              <w:rPr>
                <w:sz w:val="18"/>
              </w:rPr>
              <w:t>10.2139/ssrn.5469146</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Moral rights of authors in international copyright of the 21st century : time for consolidation? — Lenka Radkova — (2009)</w:t>
            </w:r>
          </w:p>
        </w:tc>
        <w:tc>
          <w:tcPr>
            <w:tcW w:type="dxa" w:w="2016"/>
            <w:shd w:val="clear" w:color="auto" w:fill="FFF5EB"/>
          </w:tcPr>
          <w:p>
            <w:pPr>
              <w:bidi w:val="0"/>
              <w:jc w:val="start"/>
            </w:pPr>
            <w:r/>
            <w:r>
              <w:rPr>
                <w:sz w:val="18"/>
              </w:rPr>
              <w:t>10.14288/1.0077577</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Professional investor psychology and investment performance: evidence from mutual funds — Arman Eshraghi — (2012)</w:t>
            </w:r>
          </w:p>
        </w:tc>
        <w:tc>
          <w:tcPr>
            <w:tcW w:type="dxa" w:w="2016"/>
          </w:tcPr>
          <w:p>
            <w:pPr>
              <w:bidi w:val="0"/>
              <w:jc w:val="start"/>
            </w:pPr>
            <w:r/>
            <w:r>
              <w:rPr>
                <w:sz w:val="18"/>
              </w:rPr>
              <w:t>—</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GENERATIVE ARTIFICIAL INTELLIGENCE AND COPYRIGHT OWNERSHIP: A DOCTRINAL ANALYSIS OF AUTHORSHIP, ORIGINALITY, AND THE CRISIS OF CREATIVE ATTRIBUTION — Kotia — (2026)</w:t>
            </w:r>
          </w:p>
        </w:tc>
        <w:tc>
          <w:tcPr>
            <w:tcW w:type="dxa" w:w="2016"/>
            <w:shd w:val="clear" w:color="auto" w:fill="FFF5EB"/>
          </w:tcPr>
          <w:p>
            <w:pPr>
              <w:bidi w:val="0"/>
              <w:jc w:val="start"/>
            </w:pPr>
            <w:r/>
            <w:r>
              <w:rPr>
                <w:sz w:val="18"/>
              </w:rPr>
              <w:t>10.70183/lijdlr.2026.v04.152</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Generative AI as Co-Author in Creative Practice: Authorship, Originality, and Aesthetics (2020-Present) — Nabirye H. — (2026)</w:t>
            </w:r>
          </w:p>
        </w:tc>
        <w:tc>
          <w:tcPr>
            <w:tcW w:type="dxa" w:w="2016"/>
          </w:tcPr>
          <w:p>
            <w:pPr>
              <w:bidi w:val="0"/>
              <w:jc w:val="start"/>
            </w:pPr>
            <w:r/>
            <w:r>
              <w:rPr>
                <w:sz w:val="18"/>
              </w:rPr>
              <w:t>10.59298/idosrjah/2025/1216575</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Generative Artificial Intelligence in Creative Writing and Higher Education: A Systematic Literature Review of Authorship, Cognitive Agency, and Pedagogical Transformation (2020-2026) — Aguite Jr — (2026)</w:t>
            </w:r>
          </w:p>
        </w:tc>
        <w:tc>
          <w:tcPr>
            <w:tcW w:type="dxa" w:w="2016"/>
            <w:shd w:val="clear" w:color="auto" w:fill="FFF5EB"/>
          </w:tcPr>
          <w:p>
            <w:pPr>
              <w:bidi w:val="0"/>
              <w:jc w:val="start"/>
            </w:pPr>
            <w:r/>
            <w:r>
              <w:rPr>
                <w:sz w:val="18"/>
              </w:rPr>
              <w:t>10.2139/ssrn.6611418</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Scientific Muse and Misuse: Reevaluating Authorship Attribution and Liability Allocation in the Generative AI Age&amp;amp;nbsp; — Cohen Ganot — (2026)</w:t>
            </w:r>
          </w:p>
        </w:tc>
        <w:tc>
          <w:tcPr>
            <w:tcW w:type="dxa" w:w="2016"/>
          </w:tcPr>
          <w:p>
            <w:pPr>
              <w:bidi w:val="0"/>
              <w:jc w:val="start"/>
            </w:pPr>
            <w:r/>
            <w:r>
              <w:rPr>
                <w:sz w:val="18"/>
              </w:rPr>
              <w:t>10.2139/ssrn.6400518</w:t>
            </w:r>
          </w:p>
        </w:tc>
        <w:tc>
          <w:tcPr>
            <w:tcW w:type="dxa" w:w="1728"/>
          </w:tcPr>
          <w:p>
            <w:pPr>
              <w:bidi w:val="0"/>
              <w:jc w:val="start"/>
            </w:pPr>
            <w:r/>
            <w:r>
              <w:rPr>
                <w:sz w:val="18"/>
              </w:rPr>
              <w:t>Focused search</w:t>
            </w:r>
          </w:p>
        </w:tc>
        <w:tc>
          <w:tcPr>
            <w:tcW w:type="dxa" w:w="2592"/>
          </w:tcPr>
          <w:p>
            <w:pPr>
              <w:bidi w:val="0"/>
              <w:jc w:val="start"/>
            </w:pPr>
            <w:r/>
            <w:r>
              <w:rPr>
                <w:sz w:val="18"/>
              </w:rPr>
              <w:t>Identity / DOI could not be confirmed</w:t>
            </w:r>
          </w:p>
        </w:tc>
      </w:tr>
      <w:tr>
        <w:trPr>
          <w:cantSplit/>
        </w:trPr>
        <w:tc>
          <w:tcPr>
            <w:tcW w:type="dxa" w:w="4176"/>
            <w:shd w:val="clear" w:color="auto" w:fill="FFF5EB"/>
          </w:tcPr>
          <w:p>
            <w:pPr>
              <w:bidi w:val="0"/>
              <w:jc w:val="start"/>
            </w:pPr>
            <w:r/>
            <w:r>
              <w:rPr>
                <w:sz w:val="18"/>
              </w:rPr>
              <w:t>AI and the Death of the Academic Author: A dialectical assessment of the challenges of generative AI for the concept and practice of academic authorship — Zwart — (2026)</w:t>
            </w:r>
          </w:p>
        </w:tc>
        <w:tc>
          <w:tcPr>
            <w:tcW w:type="dxa" w:w="2016"/>
            <w:shd w:val="clear" w:color="auto" w:fill="FFF5EB"/>
          </w:tcPr>
          <w:p>
            <w:pPr>
              <w:bidi w:val="0"/>
              <w:jc w:val="start"/>
            </w:pPr>
            <w:r/>
            <w:r>
              <w:rPr>
                <w:sz w:val="18"/>
              </w:rPr>
              <w:t>10.26650/bs/ah11t3.2026.002-5.01</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Identity / DOI could not be confirmed</w:t>
            </w:r>
          </w:p>
        </w:tc>
      </w:tr>
      <w:tr>
        <w:trPr>
          <w:cantSplit/>
        </w:trPr>
        <w:tc>
          <w:tcPr>
            <w:tcW w:type="dxa" w:w="4176"/>
          </w:tcPr>
          <w:p>
            <w:pPr>
              <w:bidi w:val="0"/>
              <w:jc w:val="start"/>
            </w:pPr>
            <w:r/>
            <w:r>
              <w:rPr>
                <w:sz w:val="18"/>
              </w:rPr>
              <w:t>Authorship and Literary Value — Farrell — (2017)</w:t>
            </w:r>
          </w:p>
        </w:tc>
        <w:tc>
          <w:tcPr>
            <w:tcW w:type="dxa" w:w="2016"/>
          </w:tcPr>
          <w:p>
            <w:pPr>
              <w:bidi w:val="0"/>
              <w:jc w:val="start"/>
            </w:pPr>
            <w:r/>
            <w:r>
              <w:rPr>
                <w:sz w:val="18"/>
              </w:rPr>
              <w:t>10.1007/978-3-319-48977-3_5</w:t>
            </w:r>
          </w:p>
        </w:tc>
        <w:tc>
          <w:tcPr>
            <w:tcW w:type="dxa" w:w="1728"/>
          </w:tcPr>
          <w:p>
            <w:pPr>
              <w:bidi w:val="0"/>
              <w:jc w:val="start"/>
            </w:pPr>
            <w:r/>
            <w:r>
              <w:rPr>
                <w:sz w:val="18"/>
              </w:rPr>
              <w:t>Focused search</w:t>
            </w:r>
          </w:p>
        </w:tc>
        <w:tc>
          <w:tcPr>
            <w:tcW w:type="dxa" w:w="2592"/>
          </w:tcPr>
          <w:p>
            <w:pPr>
              <w:bidi w:val="0"/>
              <w:jc w:val="start"/>
            </w:pPr>
            <w:r/>
            <w:r>
              <w:rPr>
                <w:sz w:val="18"/>
              </w:rPr>
              <w:t>Details did not match a verified record</w:t>
            </w:r>
          </w:p>
        </w:tc>
      </w:tr>
      <w:tr>
        <w:trPr>
          <w:cantSplit/>
        </w:trPr>
        <w:tc>
          <w:tcPr>
            <w:tcW w:type="dxa" w:w="4176"/>
            <w:shd w:val="clear" w:color="auto" w:fill="FFF5EB"/>
          </w:tcPr>
          <w:p>
            <w:pPr>
              <w:bidi w:val="0"/>
              <w:jc w:val="start"/>
            </w:pPr>
            <w:r/>
            <w:r>
              <w:rPr>
                <w:sz w:val="18"/>
              </w:rPr>
              <w:t>5. Applying Automated Authorship Attribution to Greek Tragedy: The Case of Pr. — (2020)</w:t>
            </w:r>
          </w:p>
        </w:tc>
        <w:tc>
          <w:tcPr>
            <w:tcW w:type="dxa" w:w="2016"/>
            <w:shd w:val="clear" w:color="auto" w:fill="FFF5EB"/>
          </w:tcPr>
          <w:p>
            <w:pPr>
              <w:bidi w:val="0"/>
              <w:jc w:val="start"/>
            </w:pPr>
            <w:r/>
            <w:r>
              <w:rPr>
                <w:sz w:val="18"/>
              </w:rPr>
              <w:t>10.1515/9783110687675-005</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Details did not match a verified record</w:t>
            </w:r>
          </w:p>
        </w:tc>
      </w:tr>
      <w:tr>
        <w:trPr>
          <w:cantSplit/>
        </w:trPr>
        <w:tc>
          <w:tcPr>
            <w:tcW w:type="dxa" w:w="4176"/>
          </w:tcPr>
          <w:p>
            <w:pPr>
              <w:bidi w:val="0"/>
              <w:jc w:val="start"/>
            </w:pPr>
            <w:r/>
            <w:r>
              <w:rPr>
                <w:sz w:val="18"/>
              </w:rPr>
              <w:t>Author Profiling of Tweets — Savoy — (2020)</w:t>
            </w:r>
          </w:p>
        </w:tc>
        <w:tc>
          <w:tcPr>
            <w:tcW w:type="dxa" w:w="2016"/>
          </w:tcPr>
          <w:p>
            <w:pPr>
              <w:bidi w:val="0"/>
              <w:jc w:val="start"/>
            </w:pPr>
            <w:r/>
            <w:r>
              <w:rPr>
                <w:sz w:val="18"/>
              </w:rPr>
              <w:t>10.1007/978-3-030-53360-1_9</w:t>
            </w:r>
          </w:p>
        </w:tc>
        <w:tc>
          <w:tcPr>
            <w:tcW w:type="dxa" w:w="1728"/>
          </w:tcPr>
          <w:p>
            <w:pPr>
              <w:bidi w:val="0"/>
              <w:jc w:val="start"/>
            </w:pPr>
            <w:r/>
            <w:r>
              <w:rPr>
                <w:sz w:val="18"/>
              </w:rPr>
              <w:t>Focused search</w:t>
            </w:r>
          </w:p>
        </w:tc>
        <w:tc>
          <w:tcPr>
            <w:tcW w:type="dxa" w:w="2592"/>
          </w:tcPr>
          <w:p>
            <w:pPr>
              <w:bidi w:val="0"/>
              <w:jc w:val="start"/>
            </w:pPr>
            <w:r/>
            <w:r>
              <w:rPr>
                <w:sz w:val="18"/>
              </w:rPr>
              <w:t>Details did not match a verified record</w:t>
            </w:r>
          </w:p>
        </w:tc>
      </w:tr>
      <w:tr>
        <w:trPr>
          <w:cantSplit/>
        </w:trPr>
        <w:tc>
          <w:tcPr>
            <w:tcW w:type="dxa" w:w="4176"/>
            <w:shd w:val="clear" w:color="auto" w:fill="FFF5EB"/>
          </w:tcPr>
          <w:p>
            <w:pPr>
              <w:bidi w:val="0"/>
              <w:jc w:val="start"/>
            </w:pPr>
            <w:r/>
            <w:r>
              <w:rPr>
                <w:sz w:val="18"/>
              </w:rPr>
              <w:t>14 “The unreckoned consequences of art”: Authorial Realism in Munro, Carver, Roth, and Moore — (2023)</w:t>
            </w:r>
          </w:p>
        </w:tc>
        <w:tc>
          <w:tcPr>
            <w:tcW w:type="dxa" w:w="2016"/>
            <w:shd w:val="clear" w:color="auto" w:fill="FFF5EB"/>
          </w:tcPr>
          <w:p>
            <w:pPr>
              <w:bidi w:val="0"/>
              <w:jc w:val="start"/>
            </w:pPr>
            <w:r/>
            <w:r>
              <w:rPr>
                <w:sz w:val="18"/>
              </w:rPr>
              <w:t>10.1515/9783111056166-015</w:t>
            </w:r>
          </w:p>
        </w:tc>
        <w:tc>
          <w:tcPr>
            <w:tcW w:type="dxa" w:w="1728"/>
            <w:shd w:val="clear" w:color="auto" w:fill="FFF5EB"/>
          </w:tcPr>
          <w:p>
            <w:pPr>
              <w:bidi w:val="0"/>
              <w:jc w:val="start"/>
            </w:pPr>
            <w:r/>
            <w:r>
              <w:rPr>
                <w:sz w:val="18"/>
              </w:rPr>
              <w:t>Focused search</w:t>
            </w:r>
          </w:p>
        </w:tc>
        <w:tc>
          <w:tcPr>
            <w:tcW w:type="dxa" w:w="2592"/>
            <w:shd w:val="clear" w:color="auto" w:fill="FFF5EB"/>
          </w:tcPr>
          <w:p>
            <w:pPr>
              <w:bidi w:val="0"/>
              <w:jc w:val="start"/>
            </w:pPr>
            <w:r/>
            <w:r>
              <w:rPr>
                <w:sz w:val="18"/>
              </w:rPr>
              <w:t>Details did not match a verified record</w:t>
            </w:r>
          </w:p>
        </w:tc>
      </w:tr>
    </w:tbl>
    <w:p/>
    <w:p/>
    <w:p>
      <w:pPr>
        <w:pStyle w:val="Heading1"/>
        <w:pBdr>
          <w:bottom w:val="single" w:sz="18" w:space="4" w:color="E06D00"/>
        </w:pBdr>
      </w:pPr>
      <w:r>
        <w:t>The Searches We Ran</w:t>
      </w:r>
    </w:p>
    <w:p>
      <w:pPr>
        <w:jc w:val="left"/>
      </w:pPr>
      <w:r>
        <w:rPr>
          <w:rFonts w:ascii="Times New Roman" w:hAnsi="Times New Roman"/>
          <w:b w:val="0"/>
          <w:color w:val="6B7280"/>
          <w:sz w:val="20"/>
        </w:rPr>
        <w:t>The exact query variants used to build your source pool. Each angle targets a different kind of evidence; the background search widens the net for general-context sources.</w:t>
      </w:r>
    </w:p>
    <w:p>
      <w:pPr>
        <w:jc w:val="left"/>
      </w:pPr>
      <w:r>
        <w:rPr>
          <w:rFonts w:ascii="Times New Roman" w:hAnsi="Times New Roman"/>
          <w:b/>
          <w:sz w:val="20"/>
        </w:rPr>
        <w:t>Reviews &amp; meta-analyses</w:t>
      </w:r>
    </w:p>
    <w:p>
      <w:pPr>
        <w:jc w:val="left"/>
      </w:pPr>
      <w:r>
        <w:rPr>
          <w:rFonts w:ascii="Times New Roman" w:hAnsi="Times New Roman"/>
          <w:b w:val="0"/>
          <w:color w:val="6B7280"/>
          <w:sz w:val="18"/>
        </w:rPr>
        <w:t>(Reconceptualising Authorship in OR authorship OR the author OR authorial intention OR originality OR attribution) AND (the Age of) AND (Generative AI: A Theoretical Review OR review OR meta-analysis OR systematic review OR literature review)</w:t>
      </w:r>
    </w:p>
    <w:p>
      <w:pPr>
        <w:jc w:val="left"/>
      </w:pPr>
      <w:r>
        <w:rPr>
          <w:rFonts w:ascii="Times New Roman" w:hAnsi="Times New Roman"/>
          <w:b/>
          <w:sz w:val="20"/>
        </w:rPr>
        <w:t>Limitations &amp; gaps</w:t>
      </w:r>
    </w:p>
    <w:p>
      <w:pPr>
        <w:jc w:val="left"/>
      </w:pPr>
      <w:r>
        <w:rPr>
          <w:rFonts w:ascii="Times New Roman" w:hAnsi="Times New Roman"/>
          <w:b w:val="0"/>
          <w:color w:val="6B7280"/>
          <w:sz w:val="18"/>
        </w:rPr>
        <w:t>(Reconceptualising Authorship in OR authorship OR the author OR authorial intention OR originality OR attribution) AND (the Age of) AND (Generative AI: A Theoretical Review OR limitation OR challenge OR barrier OR gap OR critique OR shortcoming)</w:t>
      </w:r>
    </w:p>
    <w:p>
      <w:pPr>
        <w:jc w:val="left"/>
      </w:pPr>
      <w:r>
        <w:rPr>
          <w:rFonts w:ascii="Times New Roman" w:hAnsi="Times New Roman"/>
          <w:b/>
          <w:sz w:val="20"/>
        </w:rPr>
        <w:t>contradictory_evidence</w:t>
      </w:r>
    </w:p>
    <w:p>
      <w:pPr>
        <w:jc w:val="left"/>
      </w:pPr>
      <w:r>
        <w:rPr>
          <w:rFonts w:ascii="Times New Roman" w:hAnsi="Times New Roman"/>
          <w:b w:val="0"/>
          <w:color w:val="6B7280"/>
          <w:sz w:val="18"/>
        </w:rPr>
        <w:t>(Reconceptualising Authorship in OR authorship OR the author OR authorial intention OR originality OR attribution) AND (the Age of) AND (Generative AI: A Theoretical Review OR no effect OR no significant OR null result OR negative effect OR mixed findings OR inconsistent OR detrimental OR adverse OR decline)</w:t>
      </w:r>
    </w:p>
    <w:p>
      <w:pPr>
        <w:jc w:val="left"/>
      </w:pPr>
      <w:r>
        <w:rPr>
          <w:rFonts w:ascii="Times New Roman" w:hAnsi="Times New Roman"/>
          <w:b/>
          <w:sz w:val="20"/>
        </w:rPr>
        <w:t>conceptual_theory</w:t>
      </w:r>
    </w:p>
    <w:p>
      <w:pPr>
        <w:jc w:val="left"/>
      </w:pPr>
      <w:r>
        <w:rPr>
          <w:rFonts w:ascii="Times New Roman" w:hAnsi="Times New Roman"/>
          <w:b w:val="0"/>
          <w:color w:val="6B7280"/>
          <w:sz w:val="18"/>
        </w:rPr>
        <w:t>(Reconceptualising Authorship in OR authorship OR the author OR authorial intention OR originality OR attribution) AND (the Age of) AND (Generative AI: A Theoretical Review OR theory OR theoretical OR framework OR concept OR conceptual OR perspective OR critique OR argument OR philosophical)</w:t>
      </w:r>
    </w:p>
    <w:p>
      <w:pPr>
        <w:jc w:val="left"/>
      </w:pPr>
      <w:r>
        <w:rPr>
          <w:rFonts w:ascii="Times New Roman" w:hAnsi="Times New Roman"/>
          <w:b/>
          <w:sz w:val="20"/>
        </w:rPr>
        <w:t>Background / general context</w:t>
      </w:r>
    </w:p>
    <w:p>
      <w:pPr>
        <w:jc w:val="left"/>
      </w:pPr>
      <w:r>
        <w:rPr>
          <w:rFonts w:ascii="Times New Roman" w:hAnsi="Times New Roman"/>
          <w:b w:val="0"/>
          <w:color w:val="6B7280"/>
          <w:sz w:val="18"/>
        </w:rPr>
        <w:t>(authorship the OR authorship OR the author OR authorial intention OR originality OR attribution) AND (author authorial) AND (intention originality attribution OR overview OR introduction OR background OR concept OR framework OR theory OR perspective OR state of the art)</w:t>
      </w:r>
    </w:p>
    <w:p/>
    <w:p>
      <w:pPr>
        <w:jc w:val="left"/>
      </w:pPr>
      <w:r>
        <w:rPr>
          <w:rFonts w:ascii="Times New Roman" w:hAnsi="Times New Roman"/>
          <w:b w:val="0"/>
          <w:sz w:val="20"/>
        </w:rPr>
        <w:t>Databases searched: crossref, openalex</w:t>
      </w:r>
    </w:p>
    <w:sectPr w:rsidR="00FC693F" w:rsidRPr="0006063C" w:rsidSect="00034616">
      <w:footerReference w:type="default" r:id="rId9"/>
      <w:pgSz w:w="12240" w:h="15840"/>
      <w:pgMar w:top="1440" w:right="1800" w:bottom="1440" w:left="1800"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293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FFFFF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C06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