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before="800" w:after="0" w:line="240" w:lineRule="auto"/>
        <w:jc w:val="center"/>
        <w:bidi/>
      </w:pPr>
      <w:r>
        <w:rPr>
          <w:rFonts w:ascii="Times New Roman" w:hAnsi="Times New Roman" w:cs="Times New Roman"/>
          <w:sz w:val="28"/>
          <w:rtl/>
          <w:szCs w:val="28"/>
        </w:rPr>
        <w:t>אוניברסיטת תל אביב</w:t>
      </w:r>
    </w:p>
    <w:p>
      <w:pPr>
        <w:keepNext/>
        <w:keepLines/>
        <w:spacing w:before="120" w:after="0" w:line="240" w:lineRule="auto"/>
        <w:jc w:val="center"/>
        <w:bidi/>
      </w:pPr>
      <w:r>
        <w:rPr>
          <w:rFonts w:ascii="Times New Roman" w:hAnsi="Times New Roman" w:cs="Times New Roman"/>
          <w:sz w:val="24"/>
          <w:rtl/>
          <w:szCs w:val="24"/>
        </w:rPr>
        <w:t>הפקולטה למדעי החברה</w:t>
      </w:r>
    </w:p>
    <w:p>
      <w:pPr>
        <w:keepNext/>
        <w:keepLines/>
        <w:spacing w:before="120" w:after="0" w:line="240" w:lineRule="auto"/>
        <w:jc w:val="center"/>
        <w:bidi/>
      </w:pPr>
      <w:r>
        <w:rPr>
          <w:rFonts w:ascii="Times New Roman" w:hAnsi="Times New Roman" w:cs="Times New Roman"/>
          <w:sz w:val="24"/>
          <w:rtl/>
          <w:szCs w:val="24"/>
        </w:rPr>
        <w:t>המחלקה לסוציולוגיה</w:t>
      </w:r>
    </w:p>
    <w:p>
      <w:pPr>
        <w:keepNext/>
        <w:keepLines/>
        <w:spacing w:before="1560" w:after="320" w:line="240" w:lineRule="auto"/>
        <w:jc w:val="center"/>
        <w:bidi/>
      </w:pPr>
      <w:r>
        <w:rPr>
          <w:rFonts w:ascii="Times New Roman" w:hAnsi="Times New Roman" w:cs="Times New Roman"/>
          <w:b/>
          <w:sz w:val="32"/>
          <w:rtl/>
          <w:bCs/>
          <w:szCs w:val="32"/>
        </w:rPr>
        <w:t>המשגה מחדש של מושג המחברוּת בעידן הבינה המלאכותית היוצרת: סקירה תאורטית</w:t>
      </w:r>
    </w:p>
    <w:p>
      <w:pPr>
        <w:keepNext/>
        <w:keepLines/>
        <w:spacing w:before="200" w:after="0" w:line="240" w:lineRule="auto"/>
        <w:jc w:val="center"/>
        <w:bidi/>
      </w:pPr>
      <w:r>
        <w:rPr>
          <w:rFonts w:ascii="Times New Roman" w:hAnsi="Times New Roman" w:cs="Times New Roman"/>
          <w:i/>
          <w:sz w:val="24"/>
          <w:rtl/>
          <w:iCs/>
          <w:szCs w:val="24"/>
        </w:rPr>
        <w:t>עבודה המוגשת במסגרת הקורס:</w:t>
      </w:r>
    </w:p>
    <w:p>
      <w:pPr>
        <w:keepNext/>
        <w:keepLines/>
        <w:spacing w:before="0" w:after="0" w:line="240" w:lineRule="auto"/>
        <w:jc w:val="center"/>
        <w:bidi/>
      </w:pPr>
      <w:r>
        <w:rPr>
          <w:rFonts w:ascii="Times New Roman" w:hAnsi="Times New Roman" w:cs="Times New Roman"/>
          <w:sz w:val="28"/>
          <w:rtl/>
          <w:szCs w:val="28"/>
        </w:rPr>
        <w:t>סוציולוגיה דיגיטלית</w:t>
      </w:r>
    </w:p>
    <w:p>
      <w:pPr>
        <w:keepNext/>
        <w:keepLines/>
        <w:spacing w:before="0" w:after="0" w:line="240" w:lineRule="auto"/>
        <w:jc w:val="center"/>
        <w:bidi/>
      </w:pPr>
      <w:r>
        <w:rPr>
          <w:rFonts w:ascii="Times New Roman" w:hAnsi="Times New Roman" w:cs="Times New Roman"/>
          <w:i/>
          <w:sz w:val="24"/>
          <w:rtl/>
          <w:iCs/>
          <w:szCs w:val="24"/>
        </w:rPr>
        <w:t>כחלק מדרישות התואר הראשון במדעי החברה</w:t>
      </w:r>
    </w:p>
    <w:p>
      <w:pPr>
        <w:keepNext/>
        <w:keepLines/>
        <w:spacing w:before="360" w:after="0" w:line="240" w:lineRule="auto"/>
        <w:jc w:val="center"/>
        <w:bidi/>
      </w:pPr>
      <w:r>
        <w:rPr>
          <w:rFonts w:ascii="Times New Roman" w:hAnsi="Times New Roman" w:cs="Times New Roman"/>
          <w:i/>
          <w:sz w:val="24"/>
          <w:rtl/>
          <w:iCs/>
          <w:szCs w:val="24"/>
        </w:rPr>
        <w:t>מוגשת על ידי:</w:t>
      </w:r>
    </w:p>
    <w:p>
      <w:pPr>
        <w:keepNext/>
        <w:keepLines/>
        <w:spacing w:before="0" w:after="0" w:line="240" w:lineRule="auto"/>
        <w:jc w:val="center"/>
        <w:bidi/>
      </w:pPr>
      <w:r>
        <w:rPr>
          <w:rFonts w:ascii="Times New Roman" w:hAnsi="Times New Roman" w:cs="Times New Roman"/>
          <w:sz w:val="32"/>
          <w:rtl/>
          <w:szCs w:val="32"/>
        </w:rPr>
        <w:t>אדם ברק</w:t>
      </w:r>
    </w:p>
    <w:p>
      <w:pPr>
        <w:keepNext w:val="0"/>
        <w:keepLines/>
        <w:spacing w:before="4540" w:after="0" w:line="240" w:lineRule="auto"/>
        <w:jc w:val="center"/>
        <w:bidi/>
      </w:pPr>
      <w:r>
        <w:rPr>
          <w:rFonts w:ascii="Times New Roman" w:hAnsi="Times New Roman" w:cs="Times New Roman"/>
          <w:sz w:val="24"/>
          <w:rtl/>
          <w:szCs w:val="24"/>
        </w:rPr>
        <w:t>יולי 2026</w:t>
      </w:r>
    </w:p>
    <w:p>
      <w:r>
        <w:br w:type="page"/>
      </w:r>
    </w:p>
    <w:p>
      <w:pPr>
        <w:sectPr>
          <w:pgSz w:w="12240" w:h="15840"/>
          <w:pgMar w:top="1417" w:right="1417" w:bottom="1417" w:left="1417" w:header="720" w:footer="720" w:gutter="0"/>
          <w:cols w:space="720"/>
          <w:docGrid w:linePitch="360"/>
          <w:bidi/>
        </w:sectPr>
        <w:bidi/>
      </w:pPr>
    </w:p>
    <w:p>
      <w:pPr>
        <w:pStyle w:val="Heading2"/>
        <w:keepNext/>
        <w:pageBreakBefore w:val="0"/>
        <w:bidi/>
      </w:pPr>
      <w:r>
        <w:rPr>
          <w:rtl/>
        </w:rPr>
        <w:t>‏0.1.‏ ‏1.‏ רקע והנמקה</w:t>
      </w:r>
    </w:p>
    <w:p>
      <w:pPr>
        <w:bidi/>
      </w:pPr>
      <w:r>
        <w:rPr>
          <w:rtl/>
        </w:rPr>
        <w:t>מחברוּת מעולם לא הייתה מושג מיושב מבחינה תאורטית. בתאוריה ספרותית, בפילוסופיה של הנפש ובדיני קניין רוחני, חוקרים חלוקים זה מכבר בשאלה מה פירוש הדבר להיות מקורו של טקסט. הופעתם של מודלי שפה גדולים המסוגלים להפיק פרוזה אקדמית קוהרנטית לא יצרה את אי־היציבות הזאת; היא הפכה את ההתעלמות ממנה לבלתי אפשרית. מחקר היסטורי מראה כי מחברוּת כללה מאז ומתמיד פונקציות מקדימות, שיתופיות ורוויזיוניות, וכי אידיאל המחבר היחיד המשמש מקור ראשוני הוא מוסכמה תרבותית מסוימת, ולא נקודת מוצא אוניברסלית ‎(Behzadi et al., 2015)‎. אף על פי כן, ההכרה בעבודה אינטלקטואלית נותרת, כפי שמאשרים ממצאי סקרים בקרב חוקרי מדעי הרוח, מאבק מרכזי המעוצב בידי לחצים מוסדיים ‎(Knöchelmann, 2023)‎. כאשר מקורו של טקסט הוא עמום באמת — כפי שקורה בכל פעם שחוקר מאציל את מלאכת הניסוח למערכת בינה מלאכותית גנרטיבית — המנגנון המוסדי שנבנה סביב הכרה במחברוּת מתחיל להשתבש.</w:t>
      </w:r>
    </w:p>
    <w:p>
      <w:pPr>
        <w:bidi/>
      </w:pPr>
      <w:r>
        <w:rPr>
          <w:rtl/>
        </w:rPr>
        <w:t>הבעיה המסוימת המניעה את המאמר המוצע היא אי־מספיקותן של המסגרות המשמשות כיום להכרעה בכתיבה אקדמית בסיוע בינה מלאכותית. דוקטרינת זכויות היוצרים המשפטית נשענת על קטגוריות — מקוריות, עבודה יצירתית ואישיות משפטית — שהן אנתרופוצנטריות במבנן, ואי אפשר להחילן על תהליכי יצירה לא־אנושיים בלי ליצור אי־קוהרנטיות דוקטרינרית ‎(Fenwick &amp; Jurcys, 2023)‎. נקודות מבט פוסט־הומניסטיות, אף שהן מצוידות טוב יותר להכיל סוכנות מבוזרת, מסתכנות בפירוק המחברוּת במידה כזו שאחריותיות אקדמית נעשית בלתי ישימה ‎(Zeilinger, 2021)‎. כל אחת מן המסגרות מאירה דבר־מה שהאחרות מטשטשות, אך אף אחת מהן אינה מספקת כשלעצמה.</w:t>
      </w:r>
    </w:p>
    <w:p>
      <w:pPr>
        <w:bidi/>
      </w:pPr>
      <w:r>
        <w:rPr>
          <w:rtl/>
        </w:rPr>
        <w:t>מאמר זה יתמודד עם פער זה באמצעות השאלה כיצד מסגרות תאורטיות מתחרות מממשיגות מחברוּת כאשר כלי בינה מלאכותית גנרטיבית מתווכים כתיבה אקדמית. מטרתו לבחון מה כל מסגרת מסוגלת להסביר ומה נבצר ממנה להסביר, ולטעון כי סינתזה זמנית — המשגה מחודשת של מחברוּת כרצף האצלה אפיסטמית בין אדם לבינה מלאכותית המוסדר באמצעות שקיפות — מייצגת את הדרך הקוהרנטית ביותר מבחינה אנליטית לקידום אחריותיות אקדמית.</w:t>
      </w:r>
    </w:p>
    <w:p>
      <w:pPr>
        <w:pStyle w:val="Heading2"/>
        <w:keepNext/>
        <w:pageBreakBefore w:val="0"/>
        <w:bidi/>
      </w:pPr>
      <w:r>
        <w:rPr>
          <w:rtl/>
        </w:rPr>
        <w:t>‏0.2.‏ ‏2.‏ מסגרת מושגית</w:t>
      </w:r>
    </w:p>
    <w:p>
      <w:pPr>
        <w:bidi/>
      </w:pPr>
      <w:r>
        <w:rPr>
          <w:rtl/>
        </w:rPr>
        <w:t>המאמר יבנה את מסגרתו באמצעות הצבת שלוש מסורות תאורטיות בדיאלוג השוואתי ישיר, תוך התחקות אחר הנקודה שבה כל אחת מהן נתקלת באותה בעיה יסודית: היכן מצויה האחריות האפיסטמית כאשר טקסט מופק בשיתוף פעולה בין אדם לבינה מלאכותית.</w:t>
      </w:r>
    </w:p>
    <w:p>
      <w:pPr>
        <w:bidi/>
      </w:pPr>
      <w:r>
        <w:rPr>
          <w:rtl/>
        </w:rPr>
        <w:t>הזרם הראשון הוא ההמשגה הפוסט־סטרוקטורליסטית המחודשת של המחברוּת. המאמר יסתמך על תזת "מות המחבר" ‎(Barthes, 2017)‎ ועל פונקציית המחבר — הרעיון שלפיו "מחבר" מציין שיח רגולטורי המסווג טקסטים, ולא אדם היוצר אותם ‎(Foucault, 2019)‎ — כדי לבסס כי הניגוד הבינרי בין מחבר אנושי לבין כלי לא־אנושי היה בלתי יציב מבחינה תאורטית עוד לפני הופעת הבינה המלאכותית הגנרטיבית. הסוציולוגיה של המחברוּת האלגוריתמית אצל ‏Henrickson‏ תרחיב שושלת זו, בהציעה רצף ממחברוּת למחוללוּת כמסגרת אנליטית הולמת יותר מכל סיווג בינרי ‎(Henrickson, 2021)‎.</w:t>
      </w:r>
    </w:p>
    <w:p>
      <w:pPr>
        <w:bidi/>
      </w:pPr>
      <w:r>
        <w:rPr>
          <w:rtl/>
        </w:rPr>
        <w:t>הזרם השני הוא המסורת המשפטית־זכויותית, המתנה מחברוּת במקוריות יצירתית אנושית הניתנת להדגמה. המאמר ישתמש במסורת זו כדי למפות את ההנחות האנתרופוצנטריות המשוקעות במסגרות הקיימות של קניין רוחני, ואת אי־היציבות הדוקטרינרית שהנחות אלה מייצרות כאשר הן מוחלות על תוצרים שנוצרו באמצעות מודל שפה גדול (‏LLM‏) ‎(Fenwick &amp; Jurcys, 2023)‎. מושג "המחברוּת הסיבתית" של ‏Bajohr‏ — המדידה של המרחק בין סוכנים אנושיים ומכונתיים בתהליך הגנרטיבי — יגשר בין הזרמים המשפטי והפילוסופי, וינסח מחדש את השאלה ממעמד מטפיזי לקרבה סיבתית ואפיסטמית ‎(Bajohr, 2024)‎.</w:t>
      </w:r>
    </w:p>
    <w:p>
      <w:pPr>
        <w:bidi/>
      </w:pPr>
      <w:r>
        <w:rPr>
          <w:rtl/>
        </w:rPr>
        <w:t>הזרם השלישי הוא המסורת הפוסט־הומניסטית של המכלולים, המחלקת מחדש סוכנות בין שחקנים חומריים, טכנולוגיים ומוסדיים ‎(Zeilinger, 2021)‎. טיעונו של ‏Adema‏ בזכות מודלים תהליכיים ושיתופיים של פרסום ייצג את ההרחבה הנורמטיבית הרדיקלית ביותר של עמדה זו ‎(Adema, 2021)‎, ואילו מסגרת מעקב־המקור של ‏Israel‏ ו־‏Amer‏ תמחיש כיצד תגובות מוסדיות המבוססות על שקיפות מנסות להפעיל אחריותיות בתוך הקשרים של ייצור מבוזר ‎(Israel &amp; Amer, 2022)‎.</w:t>
      </w:r>
    </w:p>
    <w:p>
      <w:pPr>
        <w:bidi/>
      </w:pPr>
      <w:r>
        <w:rPr>
          <w:rtl/>
        </w:rPr>
        <w:t>זרמים אלה יוחזקו במתח פורה. המסגרת תתייחס אליהם כאל מענים חלקיים משלימים לממדים שונים של אותה בעיה. מושגי הליבה המארגנים את הניתוח לכל אורכו — סוכנות אפיסטמית, האצלה אפיסטמית, ורצף האצלה אפיסטמית בין אדם לבינה מלאכותית המוסדר באמצעות שקיפות — נגזרים מסינתזה זו וייושמו בעקביות בכל הסעיפים.</w:t>
      </w:r>
    </w:p>
    <w:p>
      <w:pPr>
        <w:pStyle w:val="Heading2"/>
        <w:keepNext/>
        <w:pageBreakBefore w:val="0"/>
        <w:bidi/>
      </w:pPr>
      <w:r>
        <w:rPr>
          <w:rtl/>
        </w:rPr>
        <w:t>‏0.3.‏ ‏3.‏ המבנה המתוכנן של הטיעון</w:t>
      </w:r>
    </w:p>
    <w:p>
      <w:pPr>
        <w:bidi/>
      </w:pPr>
      <w:r>
        <w:rPr>
          <w:rtl/>
        </w:rPr>
        <w:t>המאמר יפתח את טיעונו באמצעות חמישה מהלכים מהותיים המובילים אל התזה המרכזית, שלפיה מוטב לחשוב מחדש על מחברוּת כרצף האצלה אפיסטמית בין אדם לבינה מלאכותית המוסדר באמצעות שקיפות.</w:t>
      </w:r>
    </w:p>
    <w:p>
      <w:pPr>
        <w:bidi/>
      </w:pPr>
      <w:r>
        <w:rPr>
          <w:rtl/>
        </w:rPr>
        <w:t>מהלך ‏1‏ — ביסוס אי־היציבות הקודמת. המאמר ייפתח בהדגמה שמחברוּת הייתה מושג שנוי במחלוקת עוד לפני הופעת הבינה המלאכותית הגנרטיבית, תוך הישענות על המסורת הפוסט־סטרוקטורליסטית ‎(Barthes, 2017; Foucault, 2019)‎ ועל עדויות היסטוריות לקיומן של פונקציות מחברוּת מרובות ‎(Behzadi et al., 2015)‎. פרדוקס הלגיטימציה הניכר בקהילות כתיבה שאינן מן הזרם המרכזי ‎(Fathallah, 2017)‎ ימחיש כי אי־יציבות זו היא מבנית ולא חדשה.</w:t>
      </w:r>
    </w:p>
    <w:p>
      <w:pPr>
        <w:bidi/>
      </w:pPr>
      <w:r>
        <w:rPr>
          <w:rtl/>
        </w:rPr>
        <w:t>מהלך ‏2‏ — מיפוי הלחץ המשפטי והמוסדי. המאמר יבחן כיצד דוקטרינת זכויות היוצרים ומסגרות של יושרה אקדמית מגיבות לכתיבה הנעזרת בבינה מלאכותית, ויראה כי המסגרות המשפטיות הקיימות לא עוצבו עבור רצפים של סוכנות ‎(Fenwick &amp; Jurcys, 2023)‎, כי המחקר בתחום ממשל הבינה המלאכותית נותר מקוטע ‎(Birkstedt et al., 2023)‎, וכי ריבוי התגובות המוסדיות משקף את היעדרה של מסגרת מדיניות מוסכמת ‎(Israel &amp; Amer, 2022)‎.</w:t>
      </w:r>
    </w:p>
    <w:p>
      <w:pPr>
        <w:bidi/>
      </w:pPr>
      <w:r>
        <w:rPr>
          <w:rtl/>
        </w:rPr>
        <w:t>מהלך ‏3‏ — זיהוי נקודת הכשל המשותפת. הסינתזה התאורטית תביא את שלוש המסורות לדיאלוג השוואתי ישיר ותזהה את נקודת ההתכנסות שבה כל אחת מהן נקלעת למתח: היכן ממוקמת האחריות האפיסטמית כאשר ייצור הטקסט מואצל במידה ניכרת למודל שפה גדול. מודל המרחק הסיבתי של ‏Bajohr‏ ‎(Bajohr, 2024)‎ והמכלול הסוכני הפוסט־הומניסטי של ‏Zeilinger‏ ‎(Zeilinger, 2021)‎ יוצגו כתשובות משלימות ולא כתגובות מתחרות.</w:t>
      </w:r>
    </w:p>
    <w:p>
      <w:pPr>
        <w:bidi/>
      </w:pPr>
      <w:r>
        <w:rPr>
          <w:rtl/>
        </w:rPr>
        <w:t>מהלך ‏4‏ — הצעת הסינתזה. המאמר יטען כי רצף האצלה אפיסטמית בין אדם לבינה מלאכותית המוסדר באמצעות שקיפות — המכויל לפי מידת ההאצלה במקום לנסות לשרטט קו בינרי — הוא העמדה הלכידה ביותר מבחינה אנליטית מבין האפשרויות הקיימות. מהלך זה יתמודד ישירות עם החלופה התהליכית הרדיקלית יותר של ‏Adema‏ ‎(Adema, 2021)‎ ויסביר מדוע, בהקשר של יושרה אקדמית, אי אפשר לפרק אחריותיות אפיסטמית מרוכזת גם כאשר ייצור הטקסט מבוזר באמת.</w:t>
      </w:r>
    </w:p>
    <w:p>
      <w:pPr>
        <w:bidi/>
      </w:pPr>
      <w:r>
        <w:rPr>
          <w:rtl/>
        </w:rPr>
        <w:t>מהלך ‏5‏ — גזירת השלכות ממשליות. המאמר ייחתם בתרגום הסינתזה להשלכות הנוגעות לקניין רוחני, להכרה בקרדיט של מחברוּת משותפת ולאחריותיות מחקרית, תוך מסגור הגילוי בדבר האצלה אפיסטמית כסטנדרט האופרטיבי שיחליף הסתמכות על מקוריות מבוססת־מקור בלבד.</w:t>
      </w:r>
    </w:p>
    <w:p>
      <w:pPr>
        <w:pStyle w:val="Heading2"/>
        <w:keepNext/>
        <w:pageBreakBefore w:val="0"/>
        <w:bidi/>
      </w:pPr>
      <w:r>
        <w:rPr>
          <w:rtl/>
        </w:rPr>
        <w:t>‏0.4.‏ ‏4.‏ מגבלות וסיכונים צפויים</w:t>
      </w:r>
    </w:p>
    <w:p>
      <w:pPr>
        <w:bidi/>
      </w:pPr>
      <w:r>
        <w:rPr>
          <w:rtl/>
        </w:rPr>
        <w:t>מגבלת היקף. כסקירה תאורטית, המאמר יסנתז מסגרות קיימות במקום לייצר או לבחון טענות אמפיריות. לפיכך, הסינתזה המוצעת תיוותר עמדה מנומקת ולא ממצא שהודגם. המאמר יכיר בכך במפורש ויציג את מבנה הרצף כזמני, כזה המחייב תיקוף אמפירי במחקרי המשך.</w:t>
      </w:r>
    </w:p>
    <w:p>
      <w:pPr>
        <w:bidi/>
      </w:pPr>
      <w:r>
        <w:rPr>
          <w:rtl/>
        </w:rPr>
        <w:t>סיכון בכיסוי החיפוש. קורפוס הספרות יוגבל למחקר שעבר שיפוט עמיתים ופורסם בין ‏2015‏ ל-‏2025‏ בתחומי תאוריית הספרות, פילוסופיית הלשון, לימודי משפט וממשל בינה מלאכותית. בכך גלום סיכון להדרת עבודה תאורטית מוקדמת רלוונטית וכן התפתחויות מדיניות עדכניות מאוד. כדי לצמצם סיכון זה, מקורות פוסט־סטרוקטורליסטיים מכוננים ‎(Barthes, 2017; Foucault, 2019)‎ ייסקרו ללא תלות במועד פרסומם, והמאמר יציין היכן ההתפתחות המהירה של התחום הופכת כל סקירה לחשופה להתיישנות חלקית.</w:t>
      </w:r>
    </w:p>
    <w:p>
      <w:pPr>
        <w:bidi/>
      </w:pPr>
      <w:r>
        <w:rPr>
          <w:rtl/>
        </w:rPr>
        <w:t>סיכון להטיית פרסום. מאגרי מידע של מחקרים שעברו שיפוט עמיתים נוטים לייצוג־יתר של מסורות תאורטיות מערביות מבוססות ולייצוג־חסר של מחקר המכוון לפרקטיקה ושל מחקר שאינו אנגלופוני. המאמר יכיר בכך שהמסגרות המסונתזות נשענות בעיקר על תאוריית ספרות מערבית ועל מסורות משפט אנגלו־אמריקניות וקונטיננטליות אירופיות, ויסמן את היעדרם של הקשרים אקדמיים לא־מערביים ורב־לשוניים כפער ממשי, ולא יתייחס לסינתזה כאל מרשם אוניברסלי.</w:t>
      </w:r>
    </w:p>
    <w:p>
      <w:pPr>
        <w:bidi/>
      </w:pPr>
      <w:r>
        <w:rPr>
          <w:rtl/>
        </w:rPr>
        <w:t>הטיה דיסציפלינרית. בסיס הראיות יישען בעיקר על תאוריית הספרות, פילוסופיית הלשון ולימודי משפט, תוך עיסוק מוגבל במחקר אמפירי בפסיכולוגיה חינוכית או בפדגוגיה של ההשכלה הגבוהה. המאמר יפנה מחקר עתידי אל שיטות אמפיריות איכותניות ואורכיות כדי להתמודד עם פער זה.</w:t>
      </w:r>
    </w:p>
    <w:p>
      <w:pPr>
        <w:bidi/>
      </w:pPr>
      <w:r>
        <w:rPr>
          <w:rtl/>
        </w:rPr>
        <w:t>טיעוני־נגד שלא טופלו. המאמר יתמודד ישירות עם ההתנגדות שלפיה בינה מלאכותית גנרטיבית אינה אלא החוליה האחרונה ברצף ארוך של טכנולוגיות כתיבה, וכי מושג המחברוּת כבר הסתגל למעברים טכנולוגיים קודמים ללא צורך בהמשגה יסודית מחודשת. התשובה — שלפיה מודלי שפה גדולים משתתפים בגיבוש תוכן פרופוזיציוני ולא רק מתווכים את אופן הביטוי — תיבחן מול עמדות־הנגד החזקות ביותר הזמינות, והמאמר יכיר בכך שחוקרים הפועלים מתוך מחויבויות דיסציפלינריות שונות עשויים לשקול את הראיות באופן שונה ומוצדק.</w:t>
      </w:r>
    </w:p>
    <w:p>
      <w:pPr>
        <w:bidi/>
      </w:pPr>
      <w:r>
        <w:rPr>
          <w:rtl/>
        </w:rPr>
        <w:t>סיכון להתיישנות בזמן. לנוכח המהירות שבה מתפתחות יכולות הבינה המלאכותית הגנרטיבית והמדיניות המוסדית, המאמר ינסח את טענותיו ברמת הכללה תאורטית שתספיק לשמר את תועלתן האנליטית גם לנוכח שינויי מדיניות בטווח הקרוב, תוך הכרה בכך שהמלצות ממשל ספציפיות עשויות להצריך עדכון עם התפתחות הזירה.</w:t>
      </w:r>
    </w:p>
    <w:p>
      <w:pPr>
        <w:pStyle w:val="Heading2"/>
        <w:keepNext/>
        <w:pageBreakBefore w:val="0"/>
        <w:bidi/>
      </w:pPr>
      <w:r>
        <w:rPr>
          <w:rtl/>
        </w:rPr>
        <w:t>‏0.5.‏ ‏5.‏ התרומה הצפויה וחשיבותה</w:t>
      </w:r>
    </w:p>
    <w:p>
      <w:pPr>
        <w:bidi/>
      </w:pPr>
      <w:r>
        <w:rPr>
          <w:rtl/>
        </w:rPr>
        <w:t>המאמר המוצע יתרום שלוש תרומות הקשורות זו בזו.</w:t>
      </w:r>
    </w:p>
    <w:p>
      <w:pPr>
        <w:bidi/>
      </w:pPr>
      <w:r>
        <w:rPr>
          <w:rtl/>
        </w:rPr>
        <w:t>תרומה תאורטית. באמצעות הצבתן של המסגרות המשפטית־זכויות־היוצרים, הפוסט־סטרוקטורליסטית והפוסט־הומניסטית־אסמבלאז׳ית בדיאלוג השוואתי ישיר, המאמר יציע מפה של המרחב התאורטי שתבהיר הן מה מציעה כל מסורת והן היכן מגבלותיה — מפה שתהיה מועילה יותר מבחינה אנליטית מכל הסבר הנשען על מסגרת יחידה.</w:t>
      </w:r>
    </w:p>
    <w:p>
      <w:pPr>
        <w:bidi/>
      </w:pPr>
      <w:r>
        <w:rPr>
          <w:rtl/>
        </w:rPr>
        <w:t>תרומה מושגית. המאמר יציג ויגן על רצף האצלה אפיסטמית בין אדם לבינה מלאכותית המוסדר באמצעות שקיפות כמבנה עבודה לניהול יושרה אקדמית. מסגור מחודש זה — מהבחנה בינארית בין אדם למכונה אל ספקטרום מדורג המכויל לפי מידת ההאצלה האפיסטמית — יציע לקובעי מדיניות מוסדיים בסיס ישים יותר לניסוח דרישות גילוי וייחוס, תוך הסטת אמת המידה האופרטיבית ממקוריות המבוססת על מקור בלבד אל עבר שקיפות בדבר השתתפותה של בינה מלאכותית ‎(Rodrigues, 2025)‎.</w:t>
      </w:r>
    </w:p>
    <w:p>
      <w:pPr>
        <w:bidi/>
      </w:pPr>
      <w:r>
        <w:rPr>
          <w:rtl/>
        </w:rPr>
        <w:t>חשיבות ברמת השדה. המאמר יתרום לשיחה בין־תחומית מתהווה המשתרעת על פני תאוריה ספרותית, לימודי משפט, לימודי מדע וטכנולוגיה וממשל בהשכלה הגבוהה. בכך שידגים כי אי־היציבויות שבינה מלאכותית גנרטיבית חושפת כבר היו טמונות במסגרות הקיימות, הוא יסייע לכוון מחדש את הדיון ממסגורו במונחי משבר אל עבר השאלה הפורייה יותר: אילו משאבים תאורטיים מצויים בעמדה המתאימה ביותר להנחות הסתגלות מוסדית.</w:t>
      </w:r>
    </w:p>
    <w:p>
      <w:pPr>
        <w:pStyle w:val="Heading2"/>
        <w:keepNext/>
        <w:pageBreakBefore w:val="0"/>
        <w:bidi/>
      </w:pPr>
      <w:r>
        <w:rPr>
          <w:rtl/>
        </w:rPr>
        <w:t>‏0.6.‏ ‏6.‏ לוח זמנים מוצע</w:t>
      </w:r>
    </w:p>
    <w:p>
      <w:pPr>
        <w:bidi/>
      </w:pPr>
      <w:r>
        <w:rPr>
          <w:rtl/>
        </w:rPr>
        <w:t>המאמר מתוכנן כעבודת סמינר לתואר ראשון בהיקף של סמסטר אחד, בארבעה שלבים.</w:t>
      </w:r>
    </w:p>
    <w:p>
      <w:pPr>
        <w:bidi/>
      </w:pPr>
      <w:r>
        <w:rPr>
          <w:rtl/>
        </w:rPr>
        <w:t>שלב ‏1‏ — מיפוי ראשוני ואיתור מקורות (שבועות ‏1‏–‎2)‎. זיהוי ראשוני ואיתור של קורפוס המקורות המרכזי, המשתרע על פני תאוריה ספרותית, לימודי משפט, מחקר פוסט־הומניסטי וספרות ממשל הבינה המלאכותית. שאלת המחקר תאושר, שלוש המסורות האנליטיות יתוחמו, ותיקבע תכנית קריאה. כ־‏30‏–‏40‏ מקורות יזוהו לצורך עיון מעמיק; מערך נוסף של מקורות ימופה ברמת התקציר כדי לבסס הקשר רחב יותר של השדה.</w:t>
      </w:r>
    </w:p>
    <w:p>
      <w:pPr>
        <w:bidi/>
      </w:pPr>
      <w:r>
        <w:rPr>
          <w:rtl/>
        </w:rPr>
        <w:t>שלב ‏2‏ — קריאה מעמיקה ופיתוח המסגרת (שבועות ‏3‏–‎5)‎. קריאה צמודה וסימון הערות בקורפוס המרכזי, תוך תשומת לב מיוחדת לשלוש המסורות התאורטיות. המסגרת המושגית — שבמרכזה סוכנות אפיסטמית, האצלה אפיסטמית, ורצף האצלה אפיסטמית בין אדם לבינה מלאכותית המוסדר באמצעות שקיפות — תנוסח ותלוטש במהלך שלב זה.</w:t>
      </w:r>
    </w:p>
    <w:p>
      <w:pPr>
        <w:bidi/>
      </w:pPr>
      <w:r>
        <w:rPr>
          <w:rtl/>
        </w:rPr>
        <w:t>שלב ‏3‏ — כתיבה (שבועות ‏6‏–‎9)‎. כתיבה רציפה של כל חלקי העבודה: מבוא, סקירת ספרות, סינתזה תאורטית, מגבלות וסיכום. מבנה הטיעון ייבחן אל מול עמדות־הנגד החזקות ביותר הזמינות, וחלק הסינתזה יתוקן באופן איטרטיבי עם התקדמות הניתוח ההשוואתי. טיוטה ראשונה מלאה מתוכננת עד סוף שבוע ‏9.‏</w:t>
      </w:r>
    </w:p>
    <w:p>
      <w:pPr>
        <w:bidi/>
      </w:pPr>
      <w:r>
        <w:rPr>
          <w:rtl/>
        </w:rPr>
        <w:t>שלב ‏4‏ — תיקון והגשה (שבועות ‏10‏–‎12)‎. עריכה מבנית ועריכה לשונית־סגנונית של הטיוטה המלאה, תוך תשומת לב מיוחדת לעקביות המושגים המרכזיים לאורך חלקי העבודה, לדיוק הציטוטים ולאילוצי מספר המילים. משוב עמיתים יתבקש במהלך שבוע ‏10‏ ככל האפשר, והגהה סופית תושלם לפני ההגשה בסוף שבוע ‏12.‏</w:t>
      </w:r>
    </w:p>
    <w:p>
      <w:pPr>
        <w:pStyle w:val="Heading2"/>
        <w:keepNext/>
        <w:pageBreakBefore w:val="0"/>
        <w:bidi/>
      </w:pPr>
      <w:r>
        <w:rPr>
          <w:rtl/>
        </w:rPr>
        <w:t>‏1.‏ מקורות</w:t>
      </w:r>
    </w:p>
    <w:p>
      <w:pPr>
        <w:bidi/>
      </w:pPr>
      <w:r>
        <w:rPr>
          <w:rtl/>
        </w:rPr>
        <w:t>‎Adema, J. (2021). Living Books. https://doi.org/10.7551/mitpress/11297.001.0001‎</w:t>
      </w:r>
    </w:p>
    <w:p>
      <w:pPr>
        <w:bidi/>
      </w:pPr>
      <w:r>
        <w:rPr>
          <w:rtl/>
        </w:rPr>
        <w:t>‎Bajohr, H. (2024). Writing at a Distance: Notes on Authorship and Artificial Intelligence. German Studies Review, 47(2), 315‎–‏337.‏ ‏https‏://‏doi.org‏/‏10.1353‏/‏gsr.2024.a927862‏</w:t>
      </w:r>
    </w:p>
    <w:p>
      <w:pPr>
        <w:bidi/>
      </w:pPr>
      <w:r>
        <w:rPr>
          <w:rtl/>
        </w:rPr>
        <w:t>‎Barthes, R. (2017). The Death of the Author. The Continental Aesthetics Reader. https://doi.org/10.4324/9781351226387-35‎</w:t>
      </w:r>
    </w:p>
    <w:p>
      <w:pPr>
        <w:bidi/>
      </w:pPr>
      <w:r>
        <w:rPr>
          <w:rtl/>
        </w:rPr>
        <w:t>‏Behzadi‏, ‏L.‏, ‏H‏ä‏meen-Anttila‏, ‏J.‏, ‏Ghersetti‏, ‏A.‏, ‏Gutas‏, ‏D.‏, &amp; ‏G‏ö‎rke, A. (2015). Concepts of authorship in pre-modern Arabic texts. Bamberger Orientstudien. https://doi.org/10.20378/irb-40118‎</w:t>
      </w:r>
    </w:p>
    <w:p>
      <w:pPr>
        <w:bidi/>
      </w:pPr>
      <w:r>
        <w:rPr>
          <w:rtl/>
        </w:rPr>
        <w:t>‏Birkstedt‏, ‏T.‏, ‏Minkkinen‏, ‏M.‏, ‏Tandon‏, ‏A.‏, &amp; ‏M‏ä‏ntym‏ä‎ki, M. (2023). AI governance: themes, knowledge gaps and future agendas. Internet Research, 33(7), 133‎–‏167.‏ ‏https‏://‏doi.org‏/‏10.1108‏/‏intr-01-2022-0042‏</w:t>
      </w:r>
    </w:p>
    <w:p>
      <w:pPr>
        <w:bidi/>
      </w:pPr>
      <w:r>
        <w:rPr>
          <w:rtl/>
        </w:rPr>
        <w:t>‎Fathallah, J. M. (2017). Fanfiction and the Author. Amsterdam University Press. https://doi.org/10.1515/9789048529087‎</w:t>
      </w:r>
    </w:p>
    <w:p>
      <w:pPr>
        <w:bidi/>
      </w:pPr>
      <w:r>
        <w:rPr>
          <w:rtl/>
        </w:rPr>
        <w:t>‏Fenwick‏, ‏M.‏, &amp; ‎Jurcys, P. (2023)‎. ‎Originality and the future of copyright in an age of generative AI‎. ‎Computer Law‎ &amp; ‎Security Review‎, ‏51‏, ‏105892.‏ ‏https‏://‏doi.org‏/‏10.1016‏/‏j.clsr.2023.105892‏</w:t>
      </w:r>
    </w:p>
    <w:p>
      <w:pPr>
        <w:bidi/>
      </w:pPr>
      <w:r>
        <w:rPr>
          <w:rtl/>
        </w:rPr>
        <w:t>‎Foucault, M. (2019)‎. ‎What Is an Author‎? ‎Textual Strategies‎. ‏https‏://‏doi.org‏/‏10.7591‏/‏9781501743429-006‏</w:t>
      </w:r>
    </w:p>
    <w:p>
      <w:pPr>
        <w:bidi/>
      </w:pPr>
      <w:r>
        <w:rPr>
          <w:rtl/>
        </w:rPr>
        <w:t>‎Henrickson, L. (2021). Towards a new sociology of the text: the hermeneutics of algorithmic authorship. In Figshare. https://doi.org/10.26174/thesis.lboro.10596404.v1‎ [יש לאמת את הפרטים]</w:t>
      </w:r>
    </w:p>
    <w:p>
      <w:pPr>
        <w:bidi/>
      </w:pPr>
      <w:r>
        <w:rPr>
          <w:rtl/>
        </w:rPr>
        <w:t>‏Israel‏, ‏M.‏ ‏J.‏, &amp; ‎Amer, A. (2022). Rethinking data infrastructure and its ethical implications in the face of automated digital content generation. AI and Ethics, 3(2), 427‎–‏439.‏ ‏https‏://‏doi.org‏/‏10.1007‏/‏s43681-022-00169-1‏</w:t>
      </w:r>
    </w:p>
    <w:p>
      <w:pPr>
        <w:bidi/>
      </w:pPr>
      <w:r>
        <w:rPr>
          <w:rtl/>
        </w:rPr>
        <w:t>‏Kn‏ö‎chelmann, M. (2023). Authorship and Publishing in the Humanities. Cambridge University Press. https://doi.org/10.1017/9781009223089‎</w:t>
      </w:r>
    </w:p>
    <w:p>
      <w:pPr>
        <w:bidi/>
      </w:pPr>
      <w:r>
        <w:rPr>
          <w:rtl/>
        </w:rPr>
        <w:t>‎Rodrigues, T. V. (2025). Distant writing and the epistemology of authorship: On creativity, delegation, and plagiarism in the age of AI. International Journal of Social Sciences and Humanities Invention, 12(5), 8598‎–‏8613.‏ ‏https‏://‏doi.org‏/‏10.18535‏/‏ijsshi‏/‏v12i05.04‏</w:t>
      </w:r>
    </w:p>
    <w:p>
      <w:pPr>
        <w:bidi/>
      </w:pPr>
      <w:r>
        <w:rPr>
          <w:rtl/>
        </w:rPr>
        <w:t>‎Zeilinger, M. (2021)‎. ‎Tactical entanglements‎: ‎AI art‎, ‎creative agency‎, ‎and the limits of intellectual property‎. ‎In Social Science Open Access Repository‎ (‏GESIS‏ – ‎Leibniz Institute for the Social Sciences). https://doi.org/10.14619/1839‎ [יש לאמת את הפרטים]</w:t>
      </w:r>
    </w:p>
    <w:p>
      <w:pPr>
        <w:bidi/>
      </w:pPr>
      <w:r>
        <w:rPr>
          <w:rtl/>
        </w:rPr>
        <w:br w:type="page"/>
      </w:r>
    </w:p>
    <w:p>
      <w:pPr>
        <w:pStyle w:val="Heading1"/>
        <w:bidi/>
      </w:pPr>
      <w:r>
        <w:rPr>
          <w:rtl/>
        </w:rPr>
        <w:t>רשימת מקורות</w:t>
      </w:r>
    </w:p>
    <w:p>
      <w:bookmarkStart w:id="1031" w:name="ref_32_bm"/>
      <w:pPr>
        <w:ind w:left="720" w:hanging="720"/>
        <w:bidi w:val="0"/>
        <w:jc w:val="start"/>
      </w:pPr>
      <w:r>
        <w:t xml:space="preserve">14 “The unreckoned consequences of art”: Authorial Realism in Munro, Carver, Roth, and Moore. (2023). </w:t>
      </w:r>
      <w:r>
        <w:rPr>
          <w:i/>
        </w:rPr>
        <w:t>Author Fictions</w:t>
      </w:r>
      <w:r>
        <w:t>. https://doi.org/10.1515/9783111056166-015</w:t>
      </w:r>
      <w:bookmarkEnd w:id="1031"/>
      <w:r>
        <w:rPr>
          <w:i/>
          <w:color w:val="C00000"/>
        </w:rPr>
        <w:t xml:space="preserve"> [בדקו פרטים]</w:t>
      </w:r>
    </w:p>
    <w:p>
      <w:bookmarkStart w:id="1014" w:name="ref_15_bm"/>
      <w:pPr>
        <w:ind w:left="720" w:hanging="720"/>
        <w:bidi w:val="0"/>
        <w:jc w:val="start"/>
      </w:pPr>
      <w:r>
        <w:t xml:space="preserve">5. Applying Automated Authorship Attribution to Greek Tragedy: The Case of Pr. (2020). </w:t>
      </w:r>
      <w:r>
        <w:rPr>
          <w:i/>
        </w:rPr>
        <w:t>›Prometheus Bound‹ - A Separate Authorial Trace in the Aeschylean Corpus</w:t>
      </w:r>
      <w:r>
        <w:t>. https://doi.org/10.1515/9783110687675-005</w:t>
      </w:r>
      <w:bookmarkEnd w:id="1014"/>
      <w:r>
        <w:rPr>
          <w:i/>
          <w:color w:val="C00000"/>
        </w:rPr>
        <w:t xml:space="preserve"> [בדקו פרטים]</w:t>
      </w:r>
    </w:p>
    <w:p>
      <w:bookmarkStart w:id="1017" w:name="ref_18_bm"/>
      <w:pPr>
        <w:ind w:left="720" w:hanging="720"/>
        <w:bidi w:val="0"/>
        <w:jc w:val="start"/>
      </w:pPr>
      <w:r>
        <w:t xml:space="preserve">Adam, A. K. M. (2019). The Good That I Mean I Do Not Say: Meaning, Intention, Psychology and Romans 7. </w:t>
      </w:r>
      <w:r>
        <w:rPr>
          <w:i/>
        </w:rPr>
        <w:t>Biblical Exegesis Without Authorial Intention?</w:t>
      </w:r>
      <w:r>
        <w:t xml:space="preserve"> https://doi.org/10.1163/9789004379558_012</w:t>
      </w:r>
      <w:bookmarkEnd w:id="1017"/>
      <w:r>
        <w:rPr>
          <w:i/>
          <w:color w:val="C00000"/>
        </w:rPr>
        <w:t xml:space="preserve"> [בדקו פרטים]</w:t>
      </w:r>
    </w:p>
    <w:p>
      <w:bookmarkStart w:id="1094" w:name="ref_95_bm"/>
      <w:pPr>
        <w:ind w:left="720" w:hanging="720"/>
        <w:bidi w:val="0"/>
        <w:jc w:val="start"/>
      </w:pPr>
      <w:r>
        <w:t xml:space="preserve">Adema, J. (2021). Living Books. </w:t>
      </w:r>
      <w:r>
        <w:rPr>
          <w:i/>
        </w:rPr>
        <w:t>The MIT Press eBooks</w:t>
      </w:r>
      <w:r>
        <w:t>. https://doi.org/10.7551/mitpress/11297.001.0001</w:t>
      </w:r>
      <w:bookmarkEnd w:id="1094"/>
      <w:r>
        <w:rPr>
          <w:i/>
          <w:color w:val="C00000"/>
        </w:rPr>
        <w:t xml:space="preserve"> [בדקו פרטים]</w:t>
      </w:r>
    </w:p>
    <w:p>
      <w:bookmarkStart w:id="1080" w:name="ref_81_bm"/>
      <w:pPr>
        <w:ind w:left="720" w:hanging="720"/>
        <w:bidi w:val="0"/>
        <w:jc w:val="start"/>
      </w:pPr>
      <w:r>
        <w:t xml:space="preserve">Aguite Jr, A. (2026). Generative Artificial Intelligence in Creative Writing and Higher Education: A Systematic Literature Review of Authorship, Cognitive Agency, and Pedagogical Transformation (2020-2026). </w:t>
      </w:r>
      <w:r>
        <w:rPr>
          <w:i/>
        </w:rPr>
        <w:t>SSRN Electronic Journal</w:t>
      </w:r>
      <w:r>
        <w:t>. https://doi.org/10.2139/ssrn.6611418</w:t>
      </w:r>
      <w:bookmarkEnd w:id="1080"/>
      <w:r>
        <w:rPr>
          <w:i/>
          <w:color w:val="C00000"/>
        </w:rPr>
        <w:t xml:space="preserve"> [בדקו פרטים]</w:t>
      </w:r>
    </w:p>
    <w:p>
      <w:bookmarkStart w:id="1105" w:name="ref_106_bm"/>
      <w:pPr>
        <w:ind w:left="720" w:hanging="720"/>
        <w:bidi w:val="0"/>
        <w:jc w:val="start"/>
      </w:pPr>
      <w:r>
        <w:t xml:space="preserve">Al Hosni, J. (2025). Preserving Authorial Voice in Academic Texts in the Age of Generative AI: A Thematic Literature Review. </w:t>
      </w:r>
      <w:r>
        <w:rPr>
          <w:i/>
        </w:rPr>
        <w:t>Arab World English Journal</w:t>
      </w:r>
      <w:r>
        <w:t>. https://doi.org/10.24093/awej/vol16no3.14</w:t>
      </w:r>
      <w:bookmarkEnd w:id="1105"/>
      <w:r>
        <w:rPr>
          <w:i/>
          <w:color w:val="C00000"/>
        </w:rPr>
        <w:t xml:space="preserve"> [בדקו פרטים]</w:t>
      </w:r>
    </w:p>
    <w:p>
      <w:bookmarkStart w:id="1019" w:name="ref_20_bm"/>
      <w:pPr>
        <w:ind w:left="720" w:hanging="720"/>
        <w:bidi w:val="0"/>
        <w:jc w:val="start"/>
      </w:pPr>
      <w:r>
        <w:t xml:space="preserve">Alamri, F. (2025). The Concept of Originality. </w:t>
      </w:r>
      <w:r>
        <w:rPr>
          <w:i/>
        </w:rPr>
        <w:t>Copyright Law in Photographic Works</w:t>
      </w:r>
      <w:r>
        <w:t>. https://doi.org/10.4324/9781003586555-6</w:t>
      </w:r>
      <w:bookmarkEnd w:id="1019"/>
      <w:r>
        <w:rPr>
          <w:i/>
          <w:color w:val="C00000"/>
        </w:rPr>
        <w:t xml:space="preserve"> [בדקו פרטים]</w:t>
      </w:r>
    </w:p>
    <w:p>
      <w:bookmarkStart w:id="1100" w:name="ref_101_bm"/>
      <w:pPr>
        <w:ind w:left="720" w:hanging="720"/>
        <w:bidi w:val="0"/>
        <w:jc w:val="start"/>
      </w:pPr>
      <w:r>
        <w:t xml:space="preserve">Albnian, A., Alghathian, G. A., &amp; Allouzi, A. (2025). Challenges of protecting electronic works in the era of artificial intelligence: a legal and doctrinal perspective. </w:t>
      </w:r>
      <w:r>
        <w:rPr>
          <w:i/>
        </w:rPr>
        <w:t>Frontiers in Human Dynamics</w:t>
      </w:r>
      <w:r>
        <w:t>. https://doi.org/10.3389/fhumd.2025.1701267</w:t>
      </w:r>
      <w:bookmarkEnd w:id="1100"/>
      <w:r>
        <w:rPr>
          <w:i/>
          <w:color w:val="C00000"/>
        </w:rPr>
        <w:t xml:space="preserve"> [בדקו פרטים]</w:t>
      </w:r>
    </w:p>
    <w:p>
      <w:bookmarkStart w:id="1037" w:name="ref_38_bm"/>
      <w:pPr>
        <w:ind w:left="720" w:hanging="720"/>
        <w:bidi w:val="0"/>
        <w:jc w:val="start"/>
      </w:pPr>
      <w:r>
        <w:t xml:space="preserve">Aoki, K. (1993). Adrift in the Intertext: Authorship and Audience Recoding Rights - Comment on Robert H. Rotstein, Beyond Metaphor: Copyright Infringement and the Fiction of the Work. </w:t>
      </w:r>
      <w:r>
        <w:rPr>
          <w:i/>
        </w:rPr>
        <w:t>Chicago-Kent Law Review</w:t>
      </w:r>
      <w:r>
        <w:t>. https://openalex.org/W1452742343</w:t>
      </w:r>
      <w:bookmarkEnd w:id="1037"/>
      <w:r>
        <w:rPr>
          <w:i/>
          <w:color w:val="C00000"/>
        </w:rPr>
        <w:t xml:space="preserve"> [בדקו פרטים]</w:t>
      </w:r>
    </w:p>
    <w:p>
      <w:bookmarkStart w:id="1025" w:name="ref_26_bm"/>
      <w:pPr>
        <w:ind w:left="720" w:hanging="720"/>
        <w:bidi w:val="0"/>
        <w:jc w:val="start"/>
      </w:pPr>
      <w:r>
        <w:t xml:space="preserve">Aravindhan, R. (2026). </w:t>
      </w:r>
      <w:r>
        <w:rPr>
          <w:i/>
        </w:rPr>
        <w:t>Authorship Without Authors: Rethinking Copyright and Personality Rights in the Age of Generative AI</w:t>
      </w:r>
      <w:r>
        <w:t>. https://doi.org/10.2139/ssrn.6081206</w:t>
      </w:r>
      <w:bookmarkEnd w:id="1025"/>
      <w:r>
        <w:rPr>
          <w:i/>
          <w:color w:val="C00000"/>
        </w:rPr>
        <w:t xml:space="preserve"> [בדקו פרטים]</w:t>
      </w:r>
    </w:p>
    <w:p>
      <w:bookmarkStart w:id="1101" w:name="ref_102_bm"/>
      <w:pPr>
        <w:ind w:left="720" w:hanging="720"/>
        <w:bidi w:val="0"/>
        <w:jc w:val="start"/>
      </w:pPr>
      <w:r>
        <w:t xml:space="preserve">Askari, M. (2025). Reclaiming authorship in the age of generative AI: From panic to possibility. </w:t>
      </w:r>
      <w:r>
        <w:rPr>
          <w:i/>
        </w:rPr>
        <w:t>AI Magazine</w:t>
      </w:r>
      <w:r>
        <w:t>. https://doi.org/10.1002/aaai.70022</w:t>
      </w:r>
      <w:bookmarkEnd w:id="1101"/>
      <w:r>
        <w:rPr>
          <w:i/>
          <w:color w:val="C00000"/>
        </w:rPr>
        <w:t xml:space="preserve"> [בדקו פרטים]</w:t>
      </w:r>
    </w:p>
    <w:p>
      <w:bookmarkStart w:id="1095" w:name="ref_96_bm"/>
      <w:pPr>
        <w:ind w:left="720" w:hanging="720"/>
        <w:bidi w:val="0"/>
        <w:jc w:val="start"/>
      </w:pPr>
      <w:r>
        <w:t xml:space="preserve">Auerbach, D. (2018). “A cannon’s burst discharged against a ruinated wall”: A Critique of Quantitative Methods in Shakespearean Authorial Attribution. </w:t>
      </w:r>
      <w:r>
        <w:rPr>
          <w:i/>
        </w:rPr>
        <w:t>Authorship</w:t>
      </w:r>
      <w:r>
        <w:t>. https://doi.org/10.21825/aj.v7i2.9737</w:t>
      </w:r>
      <w:bookmarkEnd w:id="1095"/>
      <w:r>
        <w:rPr>
          <w:i/>
          <w:color w:val="C00000"/>
        </w:rPr>
        <w:t xml:space="preserve"> [בדקו פרטים]</w:t>
      </w:r>
    </w:p>
    <w:p>
      <w:bookmarkStart w:id="1067" w:name="ref_68_bm"/>
      <w:pPr>
        <w:ind w:left="720" w:hanging="720"/>
        <w:bidi w:val="0"/>
        <w:jc w:val="start"/>
      </w:pPr>
      <w:r>
        <w:t xml:space="preserve">Auken, S. (2013). </w:t>
      </w:r>
      <w:r>
        <w:rPr>
          <w:i/>
        </w:rPr>
        <w:t>Genre and interpretation</w:t>
      </w:r>
      <w:r>
        <w:t>. https://doi.org/10.4324/9780203962619-11</w:t>
      </w:r>
      <w:bookmarkEnd w:id="1067"/>
      <w:r>
        <w:rPr>
          <w:i/>
          <w:color w:val="C00000"/>
        </w:rPr>
        <w:t xml:space="preserve"> [בדקו פרטים]</w:t>
      </w:r>
    </w:p>
    <w:p>
      <w:bookmarkStart w:id="1074" w:name="ref_75_bm"/>
      <w:pPr>
        <w:ind w:left="720" w:hanging="720"/>
        <w:bidi w:val="0"/>
        <w:jc w:val="start"/>
      </w:pPr>
      <w:r>
        <w:t xml:space="preserve">Authorial Intention and Authorial Ambition. (n.d.). </w:t>
      </w:r>
      <w:r>
        <w:rPr>
          <w:i/>
        </w:rPr>
        <w:t>Richer of Saint-Remi</w:t>
      </w:r>
      <w:r>
        <w:t>. https://doi.org/10.2307/j.ctt3fgp8h.10</w:t>
      </w:r>
      <w:bookmarkEnd w:id="1074"/>
      <w:r>
        <w:rPr>
          <w:i/>
          <w:color w:val="C00000"/>
        </w:rPr>
        <w:t xml:space="preserve"> [בדקו פרטים]</w:t>
      </w:r>
    </w:p>
    <w:p>
      <w:bookmarkStart w:id="1122" w:name="ref_123_bm"/>
      <w:pPr>
        <w:ind w:left="720" w:hanging="720"/>
        <w:bidi w:val="0"/>
        <w:jc w:val="start"/>
      </w:pPr>
      <w:r>
        <w:t xml:space="preserve">Bajohr, H. (2024). Writing at a Distance: Notes on Authorship and Artificial Intelligence. </w:t>
      </w:r>
      <w:r>
        <w:rPr>
          <w:i/>
        </w:rPr>
        <w:t>German Studies Review</w:t>
      </w:r>
      <w:r>
        <w:t>. https://doi.org/10.1353/gsr.2024.a927862</w:t>
      </w:r>
      <w:bookmarkEnd w:id="1122"/>
      <w:r>
        <w:rPr>
          <w:i/>
          <w:color w:val="C00000"/>
        </w:rPr>
        <w:t xml:space="preserve"> [בדקו פרטים]</w:t>
      </w:r>
    </w:p>
    <w:p>
      <w:bookmarkStart w:id="1096" w:name="ref_97_bm"/>
      <w:pPr>
        <w:ind w:left="720" w:hanging="720"/>
        <w:bidi w:val="0"/>
        <w:jc w:val="start"/>
      </w:pPr>
      <w:r>
        <w:t xml:space="preserve">Bao, C., Baumler, C., Iii, H. D., &amp; Carpuat, M. (2025). Who’s the Author? How Explanations Impact User Reliance in AI-Assisted Authorship Attribution. </w:t>
      </w:r>
      <w:r>
        <w:rPr>
          <w:i/>
        </w:rPr>
        <w:t>Findings of the Association for Computational Linguistics: EMNLP 2025</w:t>
      </w:r>
      <w:r>
        <w:t>. https://doi.org/10.18653/v1/2025.findings-emnlp.1380</w:t>
      </w:r>
      <w:bookmarkEnd w:id="1096"/>
      <w:r>
        <w:rPr>
          <w:i/>
          <w:color w:val="C00000"/>
        </w:rPr>
        <w:t xml:space="preserve"> [בדקו פרטים]</w:t>
      </w:r>
    </w:p>
    <w:p>
      <w:bookmarkStart w:id="1054" w:name="ref_55_bm"/>
      <w:pPr>
        <w:ind w:left="720" w:hanging="720"/>
        <w:bidi w:val="0"/>
        <w:jc w:val="start"/>
      </w:pPr>
      <w:r>
        <w:t xml:space="preserve">Beckers, S. den B., Hüser, F., Wildgaard, L., Rasmussen, L. H., Drachen, T. M., Larsen, A. V., Dorch, B. F., &amp; Sandøe, P. (2019). </w:t>
      </w:r>
      <w:r>
        <w:rPr>
          <w:i/>
        </w:rPr>
        <w:t>Research Data Management</w:t>
      </w:r>
      <w:r>
        <w:t>. https://doi.org/10.29085/9781783303953.004</w:t>
      </w:r>
      <w:bookmarkEnd w:id="1054"/>
      <w:r>
        <w:rPr>
          <w:i/>
          <w:color w:val="C00000"/>
        </w:rPr>
        <w:t xml:space="preserve"> [בדקו פרטים]</w:t>
      </w:r>
    </w:p>
    <w:p>
      <w:bookmarkStart w:id="1029" w:name="ref_30_bm"/>
      <w:pPr>
        <w:ind w:left="720" w:hanging="720"/>
        <w:bidi w:val="0"/>
        <w:jc w:val="start"/>
      </w:pPr>
      <w:r>
        <w:t xml:space="preserve">Behzadi, L., Hämeen‐Anttila, J., Ghersetti, A., Gutas, D., &amp; Görke, A. (2015). Concepts of Authorship in Pre-Modern Arabic Texts. </w:t>
      </w:r>
      <w:r>
        <w:rPr>
          <w:i/>
        </w:rPr>
        <w:t>Bamberger Orientstudien</w:t>
      </w:r>
      <w:r>
        <w:t>. https://doi.org/10.20378/irb-40118</w:t>
      </w:r>
      <w:bookmarkEnd w:id="1029"/>
      <w:r>
        <w:rPr>
          <w:i/>
          <w:color w:val="C00000"/>
        </w:rPr>
        <w:t xml:space="preserve"> [בדקו פרטים]</w:t>
      </w:r>
    </w:p>
    <w:p>
      <w:bookmarkStart w:id="1086" w:name="ref_87_bm"/>
      <w:pPr>
        <w:ind w:left="720" w:hanging="720"/>
        <w:bidi w:val="0"/>
        <w:jc w:val="start"/>
      </w:pPr>
      <w:r>
        <w:t xml:space="preserve">Berensmeyer, I., Buelens, G., &amp; Demoor, M. (2012). Authorship as cultural performance: new perspectives in authorship studies. </w:t>
      </w:r>
      <w:r>
        <w:rPr>
          <w:i/>
        </w:rPr>
        <w:t>Ghent University Academic Bibliography (Ghent University)</w:t>
      </w:r>
      <w:r>
        <w:t>. https://openalex.org/W2255293998</w:t>
      </w:r>
      <w:bookmarkEnd w:id="1086"/>
      <w:r>
        <w:rPr>
          <w:i/>
          <w:color w:val="C00000"/>
        </w:rPr>
        <w:t xml:space="preserve"> [בדקו פרטים]</w:t>
      </w:r>
    </w:p>
    <w:p>
      <w:bookmarkStart w:id="1051" w:name="ref_52_bm"/>
      <w:pPr>
        <w:ind w:left="720" w:hanging="720"/>
        <w:bidi w:val="0"/>
        <w:jc w:val="start"/>
      </w:pPr>
      <w:r>
        <w:t xml:space="preserve">Bervar, M., Bach, M. P., &amp; Bertoncel, T. (2026). Public Perceptions of Generative AI in Creative Industries: A Reddit-Based Text Mining Study. </w:t>
      </w:r>
      <w:r>
        <w:rPr>
          <w:i/>
        </w:rPr>
        <w:t>Systems</w:t>
      </w:r>
      <w:r>
        <w:t>. https://doi.org/10.3390/systems14010116</w:t>
      </w:r>
      <w:bookmarkEnd w:id="1051"/>
      <w:r>
        <w:rPr>
          <w:i/>
          <w:color w:val="C00000"/>
        </w:rPr>
        <w:t xml:space="preserve"> [בדקו פרטים]</w:t>
      </w:r>
    </w:p>
    <w:p>
      <w:bookmarkStart w:id="1104" w:name="ref_105_bm"/>
      <w:pPr>
        <w:ind w:left="720" w:hanging="720"/>
        <w:bidi w:val="0"/>
        <w:jc w:val="start"/>
      </w:pPr>
      <w:r>
        <w:t xml:space="preserve">Bhoir, M., &amp; Sinha, V. (2024). Employee well-being human resource practices: a systematic literature review and directions for future research. </w:t>
      </w:r>
      <w:r>
        <w:rPr>
          <w:i/>
        </w:rPr>
        <w:t>Future Business Journal</w:t>
      </w:r>
      <w:r>
        <w:t>. https://doi.org/10.1186/s43093-024-00382-w</w:t>
      </w:r>
      <w:bookmarkEnd w:id="1104"/>
      <w:r>
        <w:rPr>
          <w:i/>
          <w:color w:val="C00000"/>
        </w:rPr>
        <w:t xml:space="preserve"> [בדקו פרטים]</w:t>
      </w:r>
    </w:p>
    <w:p>
      <w:bookmarkStart w:id="1048" w:name="ref_49_bm"/>
      <w:pPr>
        <w:ind w:left="720" w:hanging="720"/>
        <w:bidi w:val="0"/>
        <w:jc w:val="start"/>
      </w:pPr>
      <w:r>
        <w:t xml:space="preserve">Bhullar, P. S., Joshı, M., &amp; Chugh, R. (2024). ChatGPT in higher education - a synthesis of the literature and a future research agenda. </w:t>
      </w:r>
      <w:r>
        <w:rPr>
          <w:i/>
        </w:rPr>
        <w:t>Education and Information Technologies</w:t>
      </w:r>
      <w:r>
        <w:t>. https://doi.org/10.1007/s10639-024-12723-x</w:t>
      </w:r>
      <w:bookmarkEnd w:id="1048"/>
      <w:r>
        <w:rPr>
          <w:i/>
          <w:color w:val="C00000"/>
        </w:rPr>
        <w:t xml:space="preserve"> [בדקו פרטים]</w:t>
      </w:r>
    </w:p>
    <w:p>
      <w:bookmarkStart w:id="1059" w:name="ref_60_bm"/>
      <w:pPr>
        <w:ind w:left="720" w:hanging="720"/>
        <w:bidi w:val="0"/>
        <w:jc w:val="start"/>
      </w:pPr>
      <w:r>
        <w:t xml:space="preserve">Bills, K., Costello, L., &amp; Cattani, M. (2023). Barry Turner: The Under-Acknowledged Safety Pioneer. </w:t>
      </w:r>
      <w:r>
        <w:rPr>
          <w:i/>
        </w:rPr>
        <w:t>Safety</w:t>
      </w:r>
      <w:r>
        <w:t>. https://doi.org/10.3390/safety9040068</w:t>
      </w:r>
      <w:bookmarkEnd w:id="1059"/>
      <w:r>
        <w:rPr>
          <w:i/>
          <w:color w:val="C00000"/>
        </w:rPr>
        <w:t xml:space="preserve"> [בדקו פרטים]</w:t>
      </w:r>
    </w:p>
    <w:p>
      <w:bookmarkStart w:id="1118" w:name="ref_119_bm"/>
      <w:pPr>
        <w:ind w:left="720" w:hanging="720"/>
        <w:bidi w:val="0"/>
        <w:jc w:val="start"/>
      </w:pPr>
      <w:r>
        <w:t xml:space="preserve">Birkstedt, T., Minkkinen, M., Tandon, A., &amp; Mäntymäki, M. (2023). AI governance: themes, knowledge gaps and future agendas. </w:t>
      </w:r>
      <w:r>
        <w:rPr>
          <w:i/>
        </w:rPr>
        <w:t>Internet Research</w:t>
      </w:r>
      <w:r>
        <w:t>. https://doi.org/10.1108/intr-01-2022-0042</w:t>
      </w:r>
      <w:bookmarkEnd w:id="1118"/>
      <w:r>
        <w:rPr>
          <w:i/>
          <w:color w:val="C00000"/>
        </w:rPr>
        <w:t xml:space="preserve"> [בדקו פרטים]</w:t>
      </w:r>
    </w:p>
    <w:p>
      <w:bookmarkStart w:id="1106" w:name="ref_107_bm"/>
      <w:pPr>
        <w:ind w:left="720" w:hanging="720"/>
        <w:bidi w:val="0"/>
        <w:jc w:val="start"/>
      </w:pPr>
      <w:r>
        <w:t xml:space="preserve">Bonadio, E., Bonadio, E., Dinwoodie, G. B., Suthersanen, U., Sganga, C., Kim, D., Dinev, P., Prifti, V., Shemtov, N., Meurer, M. J., Moir, H. V. J., Karapapa, S., Matulionytė, R., Khan, B., Khan, B., Masiyakurima, P., Lawal‐Arowolo, A., Arnold, R., Fhima, I. S., … Johnson, P. (2023). The Cambridge Handbook of Investment-Driven Intellectual Property. </w:t>
      </w:r>
      <w:r>
        <w:rPr>
          <w:i/>
        </w:rPr>
        <w:t>Cambridge University Press eBooks</w:t>
      </w:r>
      <w:r>
        <w:t>. https://doi.org/10.1017/9781108989527</w:t>
      </w:r>
      <w:bookmarkEnd w:id="1106"/>
      <w:r>
        <w:rPr>
          <w:i/>
          <w:color w:val="C00000"/>
        </w:rPr>
        <w:t xml:space="preserve"> [בדקו פרטים]</w:t>
      </w:r>
    </w:p>
    <w:p>
      <w:bookmarkStart w:id="1072" w:name="ref_73_bm"/>
      <w:pPr>
        <w:ind w:left="720" w:hanging="720"/>
        <w:bidi w:val="0"/>
        <w:jc w:val="start"/>
      </w:pPr>
      <w:r>
        <w:t xml:space="preserve">Bourbouhakis, E. C. (2014). Emmanuel C. Bourbouhakis The End of ἐπίδειξις. Authorial Identity and Authorial Intention in Michael Chōniatēs’ Πρὸς τοὺς αἰτιωμένους τὸ ἀφιλένδεικτον. </w:t>
      </w:r>
      <w:r>
        <w:rPr>
          <w:i/>
        </w:rPr>
        <w:t>The Author in Middle Byzantine Literature</w:t>
      </w:r>
      <w:r>
        <w:t>. https://doi.org/10.1515/9781614515197.201</w:t>
      </w:r>
      <w:bookmarkEnd w:id="1072"/>
      <w:r>
        <w:rPr>
          <w:i/>
          <w:color w:val="C00000"/>
        </w:rPr>
        <w:t xml:space="preserve"> [בדקו פרטים]</w:t>
      </w:r>
    </w:p>
    <w:p>
      <w:bookmarkStart w:id="1085" w:name="ref_86_bm"/>
      <w:pPr>
        <w:ind w:left="720" w:hanging="720"/>
        <w:bidi w:val="0"/>
        <w:jc w:val="start"/>
      </w:pPr>
      <w:r>
        <w:t xml:space="preserve">Bozbel, S. (2026). </w:t>
      </w:r>
      <w:r>
        <w:rPr>
          <w:i/>
        </w:rPr>
        <w:t>&amp;lt;span&amp;gt;&amp;lt;b&amp;gt;Generative AI and Copyright Law: Human Authorship, Originality, and Comparative Perspectives&amp;lt;/b&amp;gt;&amp;lt;/span&amp;gt;</w:t>
      </w:r>
      <w:r>
        <w:t xml:space="preserve"> https://doi.org/10.2139/ssrn.6313438</w:t>
      </w:r>
      <w:bookmarkEnd w:id="1085"/>
      <w:r>
        <w:rPr>
          <w:i/>
          <w:color w:val="C00000"/>
        </w:rPr>
        <w:t xml:space="preserve"> [בדקו פרטים]</w:t>
      </w:r>
    </w:p>
    <w:p>
      <w:bookmarkStart w:id="1102" w:name="ref_103_bm"/>
      <w:pPr>
        <w:ind w:left="720" w:hanging="720"/>
        <w:bidi w:val="0"/>
        <w:jc w:val="start"/>
      </w:pPr>
      <w:r>
        <w:t xml:space="preserve">Brasó, E. (2018). Parafictional artists. From the critique of authorship to the curatorial turn. </w:t>
      </w:r>
      <w:r>
        <w:rPr>
          <w:i/>
        </w:rPr>
        <w:t>Archive of Research Processes and Output Produced by RCA (Royal College of Art)</w:t>
      </w:r>
      <w:r>
        <w:t>. https://openalex.org/W2862855987</w:t>
      </w:r>
      <w:bookmarkEnd w:id="1102"/>
      <w:r>
        <w:rPr>
          <w:i/>
          <w:color w:val="C00000"/>
        </w:rPr>
        <w:t xml:space="preserve"> [בדקו פרטים]</w:t>
      </w:r>
    </w:p>
    <w:p>
      <w:bookmarkStart w:id="1013" w:name="ref_14_bm"/>
      <w:pPr>
        <w:ind w:left="720" w:hanging="720"/>
        <w:bidi w:val="0"/>
        <w:jc w:val="start"/>
      </w:pPr>
      <w:r>
        <w:t xml:space="preserve">Breu, C. (2019a). Authors Dead and Resurrected. </w:t>
      </w:r>
      <w:r>
        <w:rPr>
          <w:i/>
        </w:rPr>
        <w:t>Biblical Exegesis Without Authorial Intention?</w:t>
      </w:r>
      <w:r>
        <w:t xml:space="preserve"> https://doi.org/10.1163/9789004379558_002</w:t>
      </w:r>
      <w:bookmarkEnd w:id="1013"/>
      <w:r>
        <w:rPr>
          <w:i/>
          <w:color w:val="C00000"/>
        </w:rPr>
        <w:t xml:space="preserve"> [בדקו פרטים]</w:t>
      </w:r>
    </w:p>
    <w:p>
      <w:bookmarkStart w:id="1009" w:name="ref_10_bm"/>
      <w:pPr>
        <w:ind w:left="720" w:hanging="720"/>
        <w:bidi w:val="0"/>
        <w:jc w:val="start"/>
      </w:pPr>
      <w:r>
        <w:t xml:space="preserve">Breu, C. (2019b). </w:t>
      </w:r>
      <w:r>
        <w:rPr>
          <w:i/>
        </w:rPr>
        <w:t>Biblical Exegesis without Authorial Intention?</w:t>
      </w:r>
      <w:r>
        <w:t xml:space="preserve"> https://doi.org/10.1163/9789004379558</w:t>
      </w:r>
      <w:bookmarkEnd w:id="1009"/>
      <w:r>
        <w:rPr>
          <w:i/>
          <w:color w:val="C00000"/>
        </w:rPr>
        <w:t xml:space="preserve"> [בדקו פרטים]</w:t>
      </w:r>
    </w:p>
    <w:p>
      <w:bookmarkStart w:id="1008" w:name="ref_9_bm"/>
      <w:pPr>
        <w:ind w:left="720" w:hanging="720"/>
        <w:bidi w:val="0"/>
        <w:jc w:val="start"/>
      </w:pPr>
      <w:r>
        <w:t xml:space="preserve">Breu, C. (2019c). #John: Author-Names in Revelation and Other New Testament Texts. </w:t>
      </w:r>
      <w:r>
        <w:rPr>
          <w:i/>
        </w:rPr>
        <w:t>Biblical Exegesis Without Authorial Intention?</w:t>
      </w:r>
      <w:r>
        <w:t xml:space="preserve"> https://doi.org/10.1163/9789004379558_010</w:t>
      </w:r>
      <w:bookmarkEnd w:id="1008"/>
      <w:r>
        <w:rPr>
          <w:i/>
          <w:color w:val="C00000"/>
        </w:rPr>
        <w:t xml:space="preserve"> [בדקו פרטים]</w:t>
      </w:r>
    </w:p>
    <w:p>
      <w:bookmarkStart w:id="1121" w:name="ref_122_bm"/>
      <w:pPr>
        <w:ind w:left="720" w:hanging="720"/>
        <w:bidi w:val="0"/>
        <w:jc w:val="start"/>
      </w:pPr>
      <w:r>
        <w:t xml:space="preserve">Chhabra, M., Hassan, R., Shah, M. A., &amp; Sharma, R. (2023). A bibliometric review of research on entrepreneurial capacity for the period 1979 to 2022: Current status, development, and future research directions. </w:t>
      </w:r>
      <w:r>
        <w:rPr>
          <w:i/>
        </w:rPr>
        <w:t>Cogent Business &amp; Management</w:t>
      </w:r>
      <w:r>
        <w:t>. https://doi.org/10.1080/23311975.2023.2178338</w:t>
      </w:r>
      <w:bookmarkEnd w:id="1121"/>
      <w:r>
        <w:rPr>
          <w:i/>
          <w:color w:val="C00000"/>
        </w:rPr>
        <w:t xml:space="preserve"> [בדקו פרטים]</w:t>
      </w:r>
    </w:p>
    <w:p>
      <w:bookmarkStart w:id="1012" w:name="ref_13_bm"/>
      <w:pPr>
        <w:ind w:left="720" w:hanging="720"/>
        <w:bidi w:val="0"/>
        <w:jc w:val="start"/>
      </w:pPr>
      <w:r>
        <w:t xml:space="preserve">Clar, P. (2019). Authorship and/as Intertext – Julia Kristeva and Paul de Man. </w:t>
      </w:r>
      <w:r>
        <w:rPr>
          <w:i/>
        </w:rPr>
        <w:t>Biblical Exegesis Without Authorial Intention?</w:t>
      </w:r>
      <w:r>
        <w:t xml:space="preserve"> https://doi.org/10.1163/9789004379558_006</w:t>
      </w:r>
      <w:bookmarkEnd w:id="1012"/>
      <w:r>
        <w:rPr>
          <w:i/>
          <w:color w:val="C00000"/>
        </w:rPr>
        <w:t xml:space="preserve"> [בדקו פרטים]</w:t>
      </w:r>
    </w:p>
    <w:p>
      <w:bookmarkStart w:id="1082" w:name="ref_83_bm"/>
      <w:pPr>
        <w:ind w:left="720" w:hanging="720"/>
        <w:bidi w:val="0"/>
        <w:jc w:val="start"/>
      </w:pPr>
      <w:r>
        <w:t xml:space="preserve">Cohen Ganot, I. (2026). Scientific Muse and Misuse: Reevaluating Authorship Attribution and Liability Allocation in the Generative AI Age&amp;amp;nbsp; </w:t>
      </w:r>
      <w:r>
        <w:rPr>
          <w:i/>
        </w:rPr>
        <w:t>SSRN Electronic Journal</w:t>
      </w:r>
      <w:r>
        <w:t>. https://doi.org/10.2139/ssrn.6400518</w:t>
      </w:r>
      <w:bookmarkEnd w:id="1082"/>
      <w:r>
        <w:rPr>
          <w:i/>
          <w:color w:val="C00000"/>
        </w:rPr>
        <w:t xml:space="preserve"> [בדקו פרטים]</w:t>
      </w:r>
    </w:p>
    <w:p>
      <w:bookmarkStart w:id="1044" w:name="ref_45_bm"/>
      <w:pPr>
        <w:ind w:left="720" w:hanging="720"/>
        <w:bidi w:val="0"/>
        <w:jc w:val="start"/>
      </w:pPr>
      <w:r>
        <w:t xml:space="preserve">Correia, M. P., Marques, C. S., Silva, R., &amp; Ramadani, V. (2024). Academic Entrepreneurship Ecosystems: Systematic Literature Review and Future Research Directions. </w:t>
      </w:r>
      <w:r>
        <w:rPr>
          <w:i/>
        </w:rPr>
        <w:t>Journal of the Knowledge Economy</w:t>
      </w:r>
      <w:r>
        <w:t>. https://doi.org/10.1007/s13132-024-01819-x</w:t>
      </w:r>
      <w:bookmarkEnd w:id="1044"/>
      <w:r>
        <w:rPr>
          <w:i/>
          <w:color w:val="C00000"/>
        </w:rPr>
        <w:t xml:space="preserve"> [בדקו פרטים]</w:t>
      </w:r>
    </w:p>
    <w:p>
      <w:bookmarkStart w:id="1092" w:name="ref_93_bm"/>
      <w:pPr>
        <w:ind w:left="720" w:hanging="720"/>
        <w:bidi w:val="0"/>
        <w:jc w:val="start"/>
      </w:pPr>
      <w:r>
        <w:t xml:space="preserve">Creely, E., &amp; Blannin, J. (2024). Creative partnerships with generative AI. Possibilities for education and beyond. </w:t>
      </w:r>
      <w:r>
        <w:rPr>
          <w:i/>
        </w:rPr>
        <w:t>Thinking Skills and Creativity</w:t>
      </w:r>
      <w:r>
        <w:t>. https://doi.org/10.1016/j.tsc.2024.101727</w:t>
      </w:r>
      <w:bookmarkEnd w:id="1092"/>
      <w:r>
        <w:rPr>
          <w:i/>
          <w:color w:val="C00000"/>
        </w:rPr>
        <w:t xml:space="preserve"> [בדקו פרטים]</w:t>
      </w:r>
    </w:p>
    <w:p>
      <w:bookmarkStart w:id="1057" w:name="ref_58_bm"/>
      <w:pPr>
        <w:ind w:left="720" w:hanging="720"/>
        <w:bidi w:val="0"/>
        <w:jc w:val="start"/>
      </w:pPr>
      <w:r>
        <w:t xml:space="preserve">D’Agostino, G. (2002). </w:t>
      </w:r>
      <w:r>
        <w:rPr>
          <w:i/>
        </w:rPr>
        <w:t>Copyright Treatment of Freelance Work in the Digital Era</w:t>
      </w:r>
      <w:r>
        <w:t>. https://openalex.org/W1591700660</w:t>
      </w:r>
      <w:bookmarkEnd w:id="1057"/>
      <w:r>
        <w:rPr>
          <w:i/>
          <w:color w:val="C00000"/>
        </w:rPr>
        <w:t xml:space="preserve"> [בדקו פרטים]</w:t>
      </w:r>
    </w:p>
    <w:p>
      <w:bookmarkStart w:id="1002" w:name="ref_3_bm"/>
      <w:pPr>
        <w:ind w:left="720" w:hanging="720"/>
        <w:bidi w:val="0"/>
        <w:jc w:val="start"/>
      </w:pPr>
      <w:r>
        <w:t xml:space="preserve">Dabis, A., &amp; Csáki, C. (2024). AI and ethics: Investigating the first policy responses of higher education institutions to the challenge of generative AI. </w:t>
      </w:r>
      <w:r>
        <w:rPr>
          <w:i/>
        </w:rPr>
        <w:t>Humanities and Social Sciences Communications</w:t>
      </w:r>
      <w:r>
        <w:t>. https://doi.org/10.1057/s41599-024-03526-z</w:t>
      </w:r>
      <w:bookmarkEnd w:id="1002"/>
      <w:r>
        <w:rPr>
          <w:i/>
          <w:color w:val="C00000"/>
        </w:rPr>
        <w:t xml:space="preserve"> [בדקו פרטים]</w:t>
      </w:r>
    </w:p>
    <w:p>
      <w:bookmarkStart w:id="1123" w:name="ref_124_bm"/>
      <w:pPr>
        <w:ind w:left="720" w:hanging="720"/>
        <w:bidi w:val="0"/>
        <w:jc w:val="start"/>
      </w:pPr>
      <w:r>
        <w:t xml:space="preserve">Dempere, J., Ramasamy, L. K., &amp; Harris, J. (2025). AI as a Research Partner: Advocating for Co-Authorship in Academic Publications. </w:t>
      </w:r>
      <w:r>
        <w:rPr>
          <w:i/>
        </w:rPr>
        <w:t>The Artificial Intelligence Business Review</w:t>
      </w:r>
      <w:r>
        <w:t>. https://doi.org/10.64044/j8enmv71</w:t>
      </w:r>
      <w:bookmarkEnd w:id="1123"/>
      <w:r>
        <w:rPr>
          <w:i/>
          <w:color w:val="C00000"/>
        </w:rPr>
        <w:t xml:space="preserve"> [בדקו פרטים]</w:t>
      </w:r>
    </w:p>
    <w:p>
      <w:bookmarkStart w:id="1109" w:name="ref_110_bm"/>
      <w:pPr>
        <w:ind w:left="720" w:hanging="720"/>
        <w:bidi w:val="0"/>
        <w:jc w:val="start"/>
      </w:pPr>
      <w:r>
        <w:t xml:space="preserve">Dinkler, M. B. (2019). Between Intention and Reception: Textual Meaning-Making in Intersubjective Perspective. </w:t>
      </w:r>
      <w:r>
        <w:rPr>
          <w:i/>
        </w:rPr>
        <w:t>Biblical Exegesis Without Authorial Intention?</w:t>
      </w:r>
      <w:r>
        <w:t xml:space="preserve"> https://doi.org/10.1163/9789004379558_007</w:t>
      </w:r>
      <w:bookmarkEnd w:id="1109"/>
      <w:r>
        <w:rPr>
          <w:i/>
          <w:color w:val="C00000"/>
        </w:rPr>
        <w:t xml:space="preserve"> [בדקו פרטים]</w:t>
      </w:r>
    </w:p>
    <w:p>
      <w:bookmarkStart w:id="1084" w:name="ref_85_bm"/>
      <w:pPr>
        <w:ind w:left="720" w:hanging="720"/>
        <w:bidi w:val="0"/>
        <w:jc w:val="start"/>
      </w:pPr>
      <w:r>
        <w:t xml:space="preserve">Donahue, J. (2026). </w:t>
      </w:r>
      <w:r>
        <w:rPr>
          <w:i/>
        </w:rPr>
        <w:t>Human Creative Control: Rethinking Authorship in the Age of Generative AI</w:t>
      </w:r>
      <w:r>
        <w:t>. https://doi.org/10.2139/ssrn.6531938</w:t>
      </w:r>
      <w:bookmarkEnd w:id="1084"/>
      <w:r>
        <w:rPr>
          <w:i/>
          <w:color w:val="C00000"/>
        </w:rPr>
        <w:t xml:space="preserve"> [בדקו פרטים]</w:t>
      </w:r>
    </w:p>
    <w:p>
      <w:bookmarkStart w:id="1089" w:name="ref_90_bm"/>
      <w:pPr>
        <w:ind w:left="720" w:hanging="720"/>
        <w:bidi w:val="0"/>
        <w:jc w:val="start"/>
      </w:pPr>
      <w:r>
        <w:t xml:space="preserve">Eisner, C., &amp; Vicinus, M. (2008). Originality, imitation, and plagiarism: teaching writing in the digital age. </w:t>
      </w:r>
      <w:r>
        <w:rPr>
          <w:i/>
        </w:rPr>
        <w:t>Choice Reviews Online</w:t>
      </w:r>
      <w:r>
        <w:t>. https://doi.org/10.5860/choice.46-0114</w:t>
      </w:r>
      <w:bookmarkEnd w:id="1089"/>
      <w:r>
        <w:rPr>
          <w:i/>
          <w:color w:val="C00000"/>
        </w:rPr>
        <w:t xml:space="preserve"> [בדקו פרטים]</w:t>
      </w:r>
    </w:p>
    <w:p>
      <w:bookmarkStart w:id="1036" w:name="ref_37_bm"/>
      <w:pPr>
        <w:ind w:left="720" w:hanging="720"/>
        <w:bidi w:val="0"/>
        <w:jc w:val="start"/>
      </w:pPr>
      <w:r>
        <w:t xml:space="preserve">Eshraghi, A. (2012). Professional investor psychology and investment performance: evidence from mutual funds. </w:t>
      </w:r>
      <w:r>
        <w:rPr>
          <w:i/>
        </w:rPr>
        <w:t>ERA</w:t>
      </w:r>
      <w:r>
        <w:t>. https://openalex.org/W761539764</w:t>
      </w:r>
      <w:bookmarkEnd w:id="1036"/>
      <w:r>
        <w:rPr>
          <w:i/>
          <w:color w:val="C00000"/>
        </w:rPr>
        <w:t xml:space="preserve"> [בדקו פרטים]</w:t>
      </w:r>
    </w:p>
    <w:p>
      <w:bookmarkStart w:id="1112" w:name="ref_113_bm"/>
      <w:pPr>
        <w:ind w:left="720" w:hanging="720"/>
        <w:bidi w:val="0"/>
        <w:jc w:val="start"/>
      </w:pPr>
      <w:r>
        <w:t xml:space="preserve">Espasa, D. S., &amp; Camacho, M. (2025). From aura to semi-aura: reframing authenticity in AI-generated art—a systematic literature review. </w:t>
      </w:r>
      <w:r>
        <w:rPr>
          <w:i/>
        </w:rPr>
        <w:t>AI &amp; Society</w:t>
      </w:r>
      <w:r>
        <w:t>. https://doi.org/10.1007/s00146-025-02361-3</w:t>
      </w:r>
      <w:bookmarkEnd w:id="1112"/>
      <w:r>
        <w:rPr>
          <w:i/>
          <w:color w:val="C00000"/>
        </w:rPr>
        <w:t xml:space="preserve"> [בדקו פרטים]</w:t>
      </w:r>
    </w:p>
    <w:p>
      <w:bookmarkStart w:id="1033" w:name="ref_34_bm"/>
      <w:pPr>
        <w:ind w:left="720" w:hanging="720"/>
        <w:bidi w:val="0"/>
        <w:jc w:val="start"/>
      </w:pPr>
      <w:r>
        <w:t xml:space="preserve">Farah, P. D., &amp; Tremolada, R. (2016). Conflict Between Intellectual Property Rights and Human Rights: A Case Study on Intangible Cultural Heritage. </w:t>
      </w:r>
      <w:r>
        <w:rPr>
          <w:i/>
        </w:rPr>
        <w:t>Scholars’ Bank (University of Oregon)</w:t>
      </w:r>
      <w:r>
        <w:t>. https://openalex.org/W2212218561</w:t>
      </w:r>
      <w:bookmarkEnd w:id="1033"/>
      <w:r>
        <w:rPr>
          <w:i/>
          <w:color w:val="C00000"/>
        </w:rPr>
        <w:t xml:space="preserve"> [בדקו פרטים]</w:t>
      </w:r>
    </w:p>
    <w:p>
      <w:bookmarkStart w:id="1010" w:name="ref_11_bm"/>
      <w:pPr>
        <w:ind w:left="720" w:hanging="720"/>
        <w:bidi w:val="0"/>
        <w:jc w:val="start"/>
      </w:pPr>
      <w:r>
        <w:t xml:space="preserve">Farrell, J. (2017). Authorship and Literary Value. </w:t>
      </w:r>
      <w:r>
        <w:rPr>
          <w:i/>
        </w:rPr>
        <w:t>The Varieties of Authorial Intention</w:t>
      </w:r>
      <w:r>
        <w:t>. https://doi.org/10.1007/978-3-319-48977-3_5</w:t>
      </w:r>
      <w:bookmarkEnd w:id="1010"/>
      <w:r>
        <w:rPr>
          <w:i/>
          <w:color w:val="C00000"/>
        </w:rPr>
        <w:t xml:space="preserve"> [בדקו פרטים]</w:t>
      </w:r>
    </w:p>
    <w:p>
      <w:bookmarkStart w:id="1115" w:name="ref_116_bm"/>
      <w:pPr>
        <w:ind w:left="720" w:hanging="720"/>
        <w:bidi w:val="0"/>
        <w:jc w:val="start"/>
      </w:pPr>
      <w:r>
        <w:t xml:space="preserve">Fathallah, J. (2017). Fanfiction and the Author. </w:t>
      </w:r>
      <w:r>
        <w:rPr>
          <w:i/>
        </w:rPr>
        <w:t>Amsterdam University Press eBooks</w:t>
      </w:r>
      <w:r>
        <w:t>. https://doi.org/10.1515/9789048529087</w:t>
      </w:r>
      <w:bookmarkEnd w:id="1115"/>
      <w:r>
        <w:rPr>
          <w:i/>
          <w:color w:val="C00000"/>
        </w:rPr>
        <w:t xml:space="preserve"> [בדקו פרטים]</w:t>
      </w:r>
    </w:p>
    <w:p>
      <w:bookmarkStart w:id="1120" w:name="ref_121_bm"/>
      <w:pPr>
        <w:ind w:left="720" w:hanging="720"/>
        <w:bidi w:val="0"/>
        <w:jc w:val="start"/>
      </w:pPr>
      <w:r>
        <w:t xml:space="preserve">Fenwick, M., &amp; Jurcys, P. (2023). Originality and the future of copyright in an age of generative AI. </w:t>
      </w:r>
      <w:r>
        <w:rPr>
          <w:i/>
        </w:rPr>
        <w:t>Computer Law &amp;Amp; Security Review</w:t>
      </w:r>
      <w:r>
        <w:t>. https://doi.org/10.1016/j.clsr.2023.105892</w:t>
      </w:r>
      <w:bookmarkEnd w:id="1120"/>
      <w:r>
        <w:rPr>
          <w:i/>
          <w:color w:val="C00000"/>
        </w:rPr>
        <w:t xml:space="preserve"> [בדקו פרטים]</w:t>
      </w:r>
    </w:p>
    <w:p>
      <w:bookmarkStart w:id="1124" w:name="ref_125_bm"/>
      <w:pPr>
        <w:ind w:left="720" w:hanging="720"/>
        <w:bidi w:val="0"/>
        <w:jc w:val="start"/>
      </w:pPr>
      <w:r>
        <w:t xml:space="preserve">Fewster, G. P. (2019). Dying and Rising with the Author: Specters of Paul and the Material Text. </w:t>
      </w:r>
      <w:r>
        <w:rPr>
          <w:i/>
        </w:rPr>
        <w:t>Biblical Exegesis Without Authorial Intention?</w:t>
      </w:r>
      <w:r>
        <w:t xml:space="preserve"> https://doi.org/10.1163/9789004379558_011</w:t>
      </w:r>
      <w:bookmarkEnd w:id="1124"/>
      <w:r>
        <w:rPr>
          <w:i/>
          <w:color w:val="C00000"/>
        </w:rPr>
        <w:t xml:space="preserve"> [בדקו פרטים]</w:t>
      </w:r>
    </w:p>
    <w:p>
      <w:bookmarkStart w:id="1047" w:name="ref_48_bm"/>
      <w:pPr>
        <w:ind w:left="720" w:hanging="720"/>
        <w:bidi w:val="0"/>
        <w:jc w:val="start"/>
      </w:pPr>
      <w:r>
        <w:t xml:space="preserve">Fragiadakis, G., Diou, C., Kousiouris, G., &amp; Νικολαϊδου, Μ. (2024). Evaluating Human-AI Collaboration: A Review and Methodological Framework. </w:t>
      </w:r>
      <w:r>
        <w:rPr>
          <w:i/>
        </w:rPr>
        <w:t>arXiv (Cornell University)</w:t>
      </w:r>
      <w:r>
        <w:t>. https://doi.org/10.48550/arxiv.2407.19098</w:t>
      </w:r>
      <w:bookmarkEnd w:id="1047"/>
      <w:r>
        <w:rPr>
          <w:i/>
          <w:color w:val="C00000"/>
        </w:rPr>
        <w:t xml:space="preserve"> [בדקו פרטים]</w:t>
      </w:r>
    </w:p>
    <w:p>
      <w:bookmarkStart w:id="1113" w:name="ref_114_bm"/>
      <w:pPr>
        <w:ind w:left="720" w:hanging="720"/>
        <w:bidi w:val="0"/>
        <w:jc w:val="start"/>
      </w:pPr>
      <w:r>
        <w:t xml:space="preserve">Greene, J. R. (2018). Tweeting the Author: Tao Lin’s Performance of Authorial Identity on Twitter. </w:t>
      </w:r>
      <w:r>
        <w:rPr>
          <w:i/>
        </w:rPr>
        <w:t>Authorship</w:t>
      </w:r>
      <w:r>
        <w:t>. https://doi.org/10.21825/aj.v7i1.8618</w:t>
      </w:r>
      <w:bookmarkEnd w:id="1113"/>
      <w:r>
        <w:rPr>
          <w:i/>
          <w:color w:val="C00000"/>
        </w:rPr>
        <w:t xml:space="preserve"> [בדקו פרטים]</w:t>
      </w:r>
    </w:p>
    <w:p>
      <w:bookmarkStart w:id="1093" w:name="ref_94_bm"/>
      <w:pPr>
        <w:ind w:left="720" w:hanging="720"/>
        <w:bidi w:val="0"/>
        <w:jc w:val="start"/>
      </w:pPr>
      <w:r>
        <w:t xml:space="preserve">Grüttemeier, R. (2022). </w:t>
      </w:r>
      <w:r>
        <w:rPr>
          <w:i/>
        </w:rPr>
        <w:t>Intention and Interpretation: A Short History</w:t>
      </w:r>
      <w:r>
        <w:t>. https://doi.org/10.1515/9783110767858</w:t>
      </w:r>
      <w:bookmarkEnd w:id="1093"/>
      <w:r>
        <w:rPr>
          <w:i/>
          <w:color w:val="C00000"/>
        </w:rPr>
        <w:t xml:space="preserve"> [בדקו פרטים]</w:t>
      </w:r>
    </w:p>
    <w:p>
      <w:bookmarkStart w:id="1114" w:name="ref_115_bm"/>
      <w:pPr>
        <w:ind w:left="720" w:hanging="720"/>
        <w:bidi w:val="0"/>
        <w:jc w:val="start"/>
      </w:pPr>
      <w:r>
        <w:t xml:space="preserve">Heinen, S. (2019). Exegesis without Authorial Intention? On the Role of the “Author Construct” in Text Interpretation. </w:t>
      </w:r>
      <w:r>
        <w:rPr>
          <w:i/>
        </w:rPr>
        <w:t>Biblical Exegesis Without Authorial Intention?</w:t>
      </w:r>
      <w:r>
        <w:t xml:space="preserve"> https://doi.org/10.1163/9789004379558_003</w:t>
      </w:r>
      <w:bookmarkEnd w:id="1114"/>
      <w:r>
        <w:rPr>
          <w:i/>
          <w:color w:val="C00000"/>
        </w:rPr>
        <w:t xml:space="preserve"> [בדקו פרטים]</w:t>
      </w:r>
    </w:p>
    <w:p>
      <w:bookmarkStart w:id="1000" w:name="ref_1_bm"/>
      <w:pPr>
        <w:ind w:left="720" w:hanging="720"/>
        <w:bidi w:val="0"/>
        <w:jc w:val="start"/>
      </w:pPr>
      <w:r>
        <w:t xml:space="preserve">Henrickson, L. (2021). Towards a new sociology of the text: the hermeneutics of algorithmic authorship. </w:t>
      </w:r>
      <w:r>
        <w:rPr>
          <w:i/>
        </w:rPr>
        <w:t>Figshare</w:t>
      </w:r>
      <w:r>
        <w:t>. https://doi.org/10.26174/thesis.lboro.10596404.v1</w:t>
      </w:r>
      <w:bookmarkEnd w:id="1000"/>
      <w:r>
        <w:rPr>
          <w:i/>
          <w:color w:val="C00000"/>
        </w:rPr>
        <w:t xml:space="preserve"> [בדקו פרטים]</w:t>
      </w:r>
    </w:p>
    <w:p>
      <w:bookmarkStart w:id="1039" w:name="ref_40_bm"/>
      <w:pPr>
        <w:ind w:left="720" w:hanging="720"/>
        <w:bidi w:val="0"/>
        <w:jc w:val="start"/>
      </w:pPr>
      <w:r>
        <w:t xml:space="preserve">Heymann, L. A. (2004). </w:t>
      </w:r>
      <w:r>
        <w:rPr>
          <w:i/>
        </w:rPr>
        <w:t>The Birth of the Authornym: Authorship, Pseudonymity, and Trademark Law</w:t>
      </w:r>
      <w:r>
        <w:t>. https://openalex.org/W1539270134</w:t>
      </w:r>
      <w:bookmarkEnd w:id="1039"/>
      <w:r>
        <w:rPr>
          <w:i/>
          <w:color w:val="C00000"/>
        </w:rPr>
        <w:t xml:space="preserve"> [בדקו פרטים]</w:t>
      </w:r>
    </w:p>
    <w:p>
      <w:bookmarkStart w:id="1073" w:name="ref_74_bm"/>
      <w:pPr>
        <w:ind w:left="720" w:hanging="720"/>
        <w:bidi w:val="0"/>
        <w:jc w:val="start"/>
      </w:pPr>
      <w:r>
        <w:t xml:space="preserve">Holland-Batt, S., &amp; Jeffery, E. (2024). Covert and overt plagiarism: poetic attribution, originality and authorship. </w:t>
      </w:r>
      <w:r>
        <w:rPr>
          <w:i/>
        </w:rPr>
        <w:t>New Writing</w:t>
      </w:r>
      <w:r>
        <w:t>. https://doi.org/10.1080/14790726.2024.2425414</w:t>
      </w:r>
      <w:bookmarkEnd w:id="1073"/>
      <w:r>
        <w:rPr>
          <w:i/>
          <w:color w:val="C00000"/>
        </w:rPr>
        <w:t xml:space="preserve"> [בדקו פרטים]</w:t>
      </w:r>
    </w:p>
    <w:p>
      <w:bookmarkStart w:id="1099" w:name="ref_100_bm"/>
      <w:pPr>
        <w:ind w:left="720" w:hanging="720"/>
        <w:bidi w:val="0"/>
        <w:jc w:val="start"/>
      </w:pPr>
      <w:r>
        <w:t xml:space="preserve">Israel, M. J., &amp; Amer, A. (2022). Rethinking data infrastructure and its ethical implications in the face of automated digital content generation. </w:t>
      </w:r>
      <w:r>
        <w:rPr>
          <w:i/>
        </w:rPr>
        <w:t>AI and Ethics</w:t>
      </w:r>
      <w:r>
        <w:t>. https://doi.org/10.1007/s43681-022-00169-1</w:t>
      </w:r>
      <w:bookmarkEnd w:id="1099"/>
      <w:r>
        <w:rPr>
          <w:i/>
          <w:color w:val="C00000"/>
        </w:rPr>
        <w:t xml:space="preserve"> [בדקו פרטים]</w:t>
      </w:r>
    </w:p>
    <w:p>
      <w:bookmarkStart w:id="1030" w:name="ref_31_bm"/>
      <w:pPr>
        <w:ind w:left="720" w:hanging="720"/>
        <w:bidi w:val="0"/>
        <w:jc w:val="start"/>
      </w:pPr>
      <w:r>
        <w:t xml:space="preserve">Jurčys, P., &amp; Fenwick, M. (2023). Originality and the Future of Copyright in an Age of Generative AI. </w:t>
      </w:r>
      <w:r>
        <w:rPr>
          <w:i/>
        </w:rPr>
        <w:t>arXiv (Cornell University)</w:t>
      </w:r>
      <w:r>
        <w:t>. https://doi.org/10.48550/arxiv.2309.13055</w:t>
      </w:r>
      <w:bookmarkEnd w:id="1030"/>
      <w:r>
        <w:rPr>
          <w:i/>
          <w:color w:val="C00000"/>
        </w:rPr>
        <w:t xml:space="preserve"> [בדקו פרטים]</w:t>
      </w:r>
    </w:p>
    <w:p>
      <w:bookmarkStart w:id="1119" w:name="ref_120_bm"/>
      <w:pPr>
        <w:ind w:left="720" w:hanging="720"/>
        <w:bidi w:val="0"/>
        <w:jc w:val="start"/>
      </w:pPr>
      <w:r>
        <w:t xml:space="preserve">Khan, F. M., Anas, M., &amp; Uddin, S. M. F. (2023). Anthropomorphism and consumer behaviour: A&lt;scp&gt;SPAR‐4‐SLR&lt;/scp&gt;protocol compliant hybrid review. </w:t>
      </w:r>
      <w:r>
        <w:rPr>
          <w:i/>
        </w:rPr>
        <w:t>International Journal of Consumer Studies</w:t>
      </w:r>
      <w:r>
        <w:t>. https://doi.org/10.1111/ijcs.12985</w:t>
      </w:r>
      <w:bookmarkEnd w:id="1119"/>
      <w:r>
        <w:rPr>
          <w:i/>
          <w:color w:val="C00000"/>
        </w:rPr>
        <w:t xml:space="preserve"> [בדקו פרטים]</w:t>
      </w:r>
    </w:p>
    <w:p>
      <w:bookmarkStart w:id="1091" w:name="ref_92_bm"/>
      <w:pPr>
        <w:ind w:left="720" w:hanging="720"/>
        <w:bidi w:val="0"/>
        <w:jc w:val="start"/>
      </w:pPr>
      <w:r>
        <w:t xml:space="preserve">Knöchelmann, M. (2023). Authorship and Publishing in the Humanities. </w:t>
      </w:r>
      <w:r>
        <w:rPr>
          <w:i/>
        </w:rPr>
        <w:t>Cambridge University Press eBooks</w:t>
      </w:r>
      <w:r>
        <w:t>. https://doi.org/10.1017/9781009223089</w:t>
      </w:r>
      <w:bookmarkEnd w:id="1091"/>
      <w:r>
        <w:rPr>
          <w:i/>
          <w:color w:val="C00000"/>
        </w:rPr>
        <w:t xml:space="preserve"> [בדקו פרטים]</w:t>
      </w:r>
    </w:p>
    <w:p>
      <w:bookmarkStart w:id="1016" w:name="ref_17_bm"/>
      <w:pPr>
        <w:ind w:left="720" w:hanging="720"/>
        <w:bidi w:val="0"/>
        <w:jc w:val="start"/>
      </w:pPr>
      <w:r>
        <w:t xml:space="preserve">Kotia, P. (2026). GENERATIVE ARTIFICIAL INTELLIGENCE AND COPYRIGHT OWNERSHIP: A DOCTRINAL ANALYSIS OF AUTHORSHIP, ORIGINALITY, AND THE CRISIS OF CREATIVE ATTRIBUTION. </w:t>
      </w:r>
      <w:r>
        <w:rPr>
          <w:i/>
        </w:rPr>
        <w:t>LawFoyer International Journal of Doctrinal Legal Research</w:t>
      </w:r>
      <w:r>
        <w:t>. https://doi.org/10.70183/lijdlr.2026.v04.152</w:t>
      </w:r>
      <w:bookmarkEnd w:id="1016"/>
      <w:r>
        <w:rPr>
          <w:i/>
          <w:color w:val="C00000"/>
        </w:rPr>
        <w:t xml:space="preserve"> [בדקו פרטים]</w:t>
      </w:r>
    </w:p>
    <w:p>
      <w:bookmarkStart w:id="1107" w:name="ref_108_bm"/>
      <w:pPr>
        <w:ind w:left="720" w:hanging="720"/>
        <w:bidi w:val="0"/>
        <w:jc w:val="start"/>
      </w:pPr>
      <w:r>
        <w:t xml:space="preserve">Kumar, R. (2025). Rethinking authorship in a generative AI-driven academic world. </w:t>
      </w:r>
      <w:r>
        <w:rPr>
          <w:i/>
        </w:rPr>
        <w:t>Navigating Generative AI in Higher Education</w:t>
      </w:r>
      <w:r>
        <w:t>. https://doi.org/10.4337/9781035337873.00011</w:t>
      </w:r>
      <w:bookmarkEnd w:id="1107"/>
      <w:r>
        <w:rPr>
          <w:i/>
          <w:color w:val="C00000"/>
        </w:rPr>
        <w:t xml:space="preserve"> [בדקו פרטים]</w:t>
      </w:r>
    </w:p>
    <w:p>
      <w:bookmarkStart w:id="1081" w:name="ref_82_bm"/>
      <w:pPr>
        <w:ind w:left="720" w:hanging="720"/>
        <w:bidi w:val="0"/>
        <w:jc w:val="start"/>
      </w:pPr>
      <w:r>
        <w:t xml:space="preserve">Liang, D. (2026). </w:t>
      </w:r>
      <w:r>
        <w:rPr>
          <w:i/>
        </w:rPr>
        <w:t>When AI Writes, Who Is the Author? Authorship as Governance in Generative AI</w:t>
      </w:r>
      <w:r>
        <w:t>. https://doi.org/10.2139/ssrn.6233898</w:t>
      </w:r>
      <w:bookmarkEnd w:id="1081"/>
      <w:r>
        <w:rPr>
          <w:i/>
          <w:color w:val="C00000"/>
        </w:rPr>
        <w:t xml:space="preserve"> [בדקו פרטים]</w:t>
      </w:r>
    </w:p>
    <w:p>
      <w:bookmarkStart w:id="1026" w:name="ref_27_bm"/>
      <w:pPr>
        <w:ind w:left="720" w:hanging="720"/>
        <w:bidi w:val="0"/>
        <w:jc w:val="start"/>
      </w:pPr>
      <w:r>
        <w:t xml:space="preserve">Luyckx, K., &amp; Daelemans, W. (2010). The effect of author set size and data size in authorship attribution. </w:t>
      </w:r>
      <w:r>
        <w:rPr>
          <w:i/>
        </w:rPr>
        <w:t>Literary and Linguistic Computing</w:t>
      </w:r>
      <w:r>
        <w:t>. https://doi.org/10.1093/llc/fqq013</w:t>
      </w:r>
      <w:bookmarkEnd w:id="1026"/>
      <w:r>
        <w:rPr>
          <w:i/>
          <w:color w:val="C00000"/>
        </w:rPr>
        <w:t xml:space="preserve"> [בדקו פרטים]</w:t>
      </w:r>
    </w:p>
    <w:p>
      <w:bookmarkStart w:id="1079" w:name="ref_80_bm"/>
      <w:pPr>
        <w:ind w:left="720" w:hanging="720"/>
        <w:bidi w:val="0"/>
        <w:jc w:val="start"/>
      </w:pPr>
      <w:r>
        <w:t xml:space="preserve">Mahor, U., &amp; Kumar, A. (2023). </w:t>
      </w:r>
      <w:r>
        <w:rPr>
          <w:i/>
        </w:rPr>
        <w:t>Authorship Attribution using Tf-Idf weight with Machine Learning Approaches</w:t>
      </w:r>
      <w:r>
        <w:t>. https://doi.org/10.21203/rs.3.rs-2707585/v1</w:t>
      </w:r>
      <w:bookmarkEnd w:id="1079"/>
      <w:r>
        <w:rPr>
          <w:i/>
          <w:color w:val="C00000"/>
        </w:rPr>
        <w:t xml:space="preserve"> [בדקו פרטים]</w:t>
      </w:r>
    </w:p>
    <w:p>
      <w:bookmarkStart w:id="1034" w:name="ref_35_bm"/>
      <w:pPr>
        <w:ind w:left="720" w:hanging="720"/>
        <w:bidi w:val="0"/>
        <w:jc w:val="start"/>
      </w:pPr>
      <w:r>
        <w:t xml:space="preserve">Mander, D. (2012). The Transition Experience to Boarding School for Male Aboriginal Secondary School Students from Regional and Remote Communities across Western Australia. </w:t>
      </w:r>
      <w:r>
        <w:rPr>
          <w:i/>
        </w:rPr>
        <w:t>Australasian Journal of Paramedicine</w:t>
      </w:r>
      <w:r>
        <w:t>. https://openalex.org/W1470351124</w:t>
      </w:r>
      <w:bookmarkEnd w:id="1034"/>
      <w:r>
        <w:rPr>
          <w:i/>
          <w:color w:val="C00000"/>
        </w:rPr>
        <w:t xml:space="preserve"> [בדקו פרטים]</w:t>
      </w:r>
    </w:p>
    <w:p>
      <w:bookmarkStart w:id="1040" w:name="ref_41_bm"/>
      <w:pPr>
        <w:ind w:left="720" w:hanging="720"/>
        <w:bidi w:val="0"/>
        <w:jc w:val="start"/>
      </w:pPr>
      <w:r>
        <w:t xml:space="preserve">Marsden, E., Morgan‐Short, K., Thompson‐Lee, S., &amp; Abugaber, D. (2018). Replication in Second Language Research: Narrative and Systematic Reviews and Recommendations for the Field. </w:t>
      </w:r>
      <w:r>
        <w:rPr>
          <w:i/>
        </w:rPr>
        <w:t>Language Learning</w:t>
      </w:r>
      <w:r>
        <w:t>. https://doi.org/10.1111/lang.12286</w:t>
      </w:r>
      <w:bookmarkEnd w:id="1040"/>
      <w:r>
        <w:rPr>
          <w:i/>
          <w:color w:val="C00000"/>
        </w:rPr>
        <w:t xml:space="preserve"> [בדקו פרטים]</w:t>
      </w:r>
    </w:p>
    <w:p>
      <w:bookmarkStart w:id="1064" w:name="ref_65_bm"/>
      <w:pPr>
        <w:ind w:left="720" w:hanging="720"/>
        <w:bidi w:val="0"/>
        <w:jc w:val="start"/>
      </w:pPr>
      <w:r>
        <w:t xml:space="preserve">McCarty, W. (2010). Text and Genre in Reconstruction: Effects of Digitalization on Ideas, Behaviours, Products and Institutions. </w:t>
      </w:r>
      <w:r>
        <w:rPr>
          <w:i/>
        </w:rPr>
        <w:t>Open Book Publishers</w:t>
      </w:r>
      <w:r>
        <w:t>. https://doi.org/10.11647/obp.0008</w:t>
      </w:r>
      <w:bookmarkEnd w:id="1064"/>
      <w:r>
        <w:rPr>
          <w:i/>
          <w:color w:val="C00000"/>
        </w:rPr>
        <w:t xml:space="preserve"> [בדקו פרטים]</w:t>
      </w:r>
    </w:p>
    <w:p>
      <w:bookmarkStart w:id="1108" w:name="ref_109_bm"/>
      <w:pPr>
        <w:ind w:left="720" w:hanging="720"/>
        <w:bidi w:val="0"/>
        <w:jc w:val="start"/>
      </w:pPr>
      <w:r>
        <w:t xml:space="preserve">McQuillan, D. (2021). Co-authoring Strategies in Business Research. </w:t>
      </w:r>
      <w:r>
        <w:rPr>
          <w:i/>
        </w:rPr>
        <w:t>Arrow - TU Dublin (Technological University Dublin)</w:t>
      </w:r>
      <w:r>
        <w:t>. https://doi.org/10.21427/mste-8658</w:t>
      </w:r>
      <w:bookmarkEnd w:id="1108"/>
      <w:r>
        <w:rPr>
          <w:i/>
          <w:color w:val="C00000"/>
        </w:rPr>
        <w:t xml:space="preserve"> [בדקו פרטים]</w:t>
      </w:r>
    </w:p>
    <w:p>
      <w:bookmarkStart w:id="1071" w:name="ref_72_bm"/>
      <w:pPr>
        <w:ind w:left="720" w:hanging="720"/>
        <w:bidi w:val="0"/>
        <w:jc w:val="start"/>
      </w:pPr>
      <w:r>
        <w:t xml:space="preserve">Mikros, G., &amp; Boumparis, D. (2022). </w:t>
      </w:r>
      <w:r>
        <w:rPr>
          <w:i/>
        </w:rPr>
        <w:t>Cross-linguistic Authorship Attribution and Author Profiling. Is Machine Translation the Solution?</w:t>
      </w:r>
      <w:r>
        <w:t xml:space="preserve"> https://doi.org/10.21203/rs.3.rs-2129774/v1</w:t>
      </w:r>
      <w:bookmarkEnd w:id="1071"/>
      <w:r>
        <w:rPr>
          <w:i/>
          <w:color w:val="C00000"/>
        </w:rPr>
        <w:t xml:space="preserve"> [בדקו פרטים]</w:t>
      </w:r>
    </w:p>
    <w:p>
      <w:bookmarkStart w:id="1078" w:name="ref_79_bm"/>
      <w:pPr>
        <w:ind w:left="720" w:hanging="720"/>
        <w:bidi w:val="0"/>
        <w:jc w:val="start"/>
      </w:pPr>
      <w:r>
        <w:t xml:space="preserve">Nabirye H., K. (2026). Generative AI as Co-Author in Creative Practice: Authorship, Originality, and Aesthetics (2020-Present). </w:t>
      </w:r>
      <w:r>
        <w:rPr>
          <w:i/>
        </w:rPr>
        <w:t>IDOSR JOURNAL OF ARTS AND HUMANITIES</w:t>
      </w:r>
      <w:r>
        <w:t>. https://doi.org/10.59298/idosrjah/2025/1216575</w:t>
      </w:r>
      <w:bookmarkEnd w:id="1078"/>
      <w:r>
        <w:rPr>
          <w:i/>
          <w:color w:val="C00000"/>
        </w:rPr>
        <w:t xml:space="preserve"> [בדקו פרטים]</w:t>
      </w:r>
    </w:p>
    <w:p>
      <w:bookmarkStart w:id="1006" w:name="ref_7_bm"/>
      <w:pPr>
        <w:ind w:left="720" w:hanging="720"/>
        <w:bidi w:val="0"/>
        <w:jc w:val="start"/>
      </w:pPr>
      <w:r>
        <w:t xml:space="preserve">Nickleson, P. (2017). The Names of Minimalism: Authorship and the Historiography of Dispute in New York Minimalism, 1960–1982. </w:t>
      </w:r>
      <w:r>
        <w:rPr>
          <w:i/>
        </w:rPr>
        <w:t>TSpace</w:t>
      </w:r>
      <w:r>
        <w:t>. https://doi.org/10.3998/mpub.10207791</w:t>
      </w:r>
      <w:bookmarkEnd w:id="1006"/>
      <w:r>
        <w:rPr>
          <w:i/>
          <w:color w:val="C00000"/>
        </w:rPr>
        <w:t xml:space="preserve"> [בדקו פרטים]</w:t>
      </w:r>
    </w:p>
    <w:p>
      <w:bookmarkStart w:id="1038" w:name="ref_39_bm"/>
      <w:pPr>
        <w:ind w:left="720" w:hanging="720"/>
        <w:bidi w:val="0"/>
        <w:jc w:val="start"/>
      </w:pPr>
      <w:r>
        <w:t xml:space="preserve">Nyqvist, S. (2010). Double-Edged Imitation : Theories and Practices of Pastiche in Literature. </w:t>
      </w:r>
      <w:r>
        <w:rPr>
          <w:i/>
        </w:rPr>
        <w:t>Työväentutkimus Vuosikirja</w:t>
      </w:r>
      <w:r>
        <w:t>. https://openalex.org/W1521412288</w:t>
      </w:r>
      <w:bookmarkEnd w:id="1038"/>
      <w:r>
        <w:rPr>
          <w:i/>
          <w:color w:val="C00000"/>
        </w:rPr>
        <w:t xml:space="preserve"> [בדקו פרטים]</w:t>
      </w:r>
    </w:p>
    <w:p>
      <w:bookmarkStart w:id="1003" w:name="ref_4_bm"/>
      <w:pPr>
        <w:ind w:left="720" w:hanging="720"/>
        <w:bidi w:val="0"/>
        <w:jc w:val="start"/>
      </w:pPr>
      <w:r>
        <w:t xml:space="preserve">O’Brien, S. P., Chan, D., Leung, F., Ko, E. J., Kwak, J. S., Gwon, T., Lee, J. M., Lee, M., Nolte, H., Gommel, M., Sponholz, G., Krastev, Y., Sandiran, Y., Connell, J., Solomon, N., Krašovec, U. O., Šribar, R., Martinson, B. C., Thrush, C. R., … Connelly, S. (2016). Proceedings of the 4th World Conference on Research Integrity. </w:t>
      </w:r>
      <w:r>
        <w:rPr>
          <w:i/>
        </w:rPr>
        <w:t>Research Integrity and Peer Review</w:t>
      </w:r>
      <w:r>
        <w:t>. https://doi.org/10.1186/s41073-016-0012-9</w:t>
      </w:r>
      <w:bookmarkEnd w:id="1003"/>
      <w:r>
        <w:rPr>
          <w:i/>
          <w:color w:val="C00000"/>
        </w:rPr>
        <w:t xml:space="preserve"> [בדקו פרטים]</w:t>
      </w:r>
    </w:p>
    <w:p>
      <w:bookmarkStart w:id="1021" w:name="ref_22_bm"/>
      <w:pPr>
        <w:ind w:left="720" w:hanging="720"/>
        <w:bidi w:val="0"/>
        <w:jc w:val="start"/>
      </w:pPr>
      <w:r>
        <w:t xml:space="preserve">Odugbemi, G. (2026). </w:t>
      </w:r>
      <w:r>
        <w:rPr>
          <w:i/>
        </w:rPr>
        <w:t>Re-Defining Copyright Originality in the Age of AI: Reconciling Creativity, Labour, and Human Authorship</w:t>
      </w:r>
      <w:r>
        <w:t>. https://doi.org/10.2139/ssrn.6179858</w:t>
      </w:r>
      <w:bookmarkEnd w:id="1021"/>
      <w:r>
        <w:rPr>
          <w:i/>
          <w:color w:val="C00000"/>
        </w:rPr>
        <w:t xml:space="preserve"> [בדקו פרטים]</w:t>
      </w:r>
    </w:p>
    <w:p>
      <w:bookmarkStart w:id="1005" w:name="ref_6_bm"/>
      <w:pPr>
        <w:ind w:left="720" w:hanging="720"/>
        <w:bidi w:val="0"/>
        <w:jc w:val="start"/>
      </w:pPr>
      <w:r>
        <w:t xml:space="preserve">Pang, L. (2012). </w:t>
      </w:r>
      <w:r>
        <w:rPr>
          <w:i/>
        </w:rPr>
        <w:t>Creativity and Its Discontents</w:t>
      </w:r>
      <w:r>
        <w:t>. https://doi.org/10.1215/9780822394587</w:t>
      </w:r>
      <w:bookmarkEnd w:id="1005"/>
      <w:r>
        <w:rPr>
          <w:i/>
          <w:color w:val="C00000"/>
        </w:rPr>
        <w:t xml:space="preserve"> [בדקו פרטים]</w:t>
      </w:r>
    </w:p>
    <w:p>
      <w:bookmarkStart w:id="1097" w:name="ref_98_bm"/>
      <w:pPr>
        <w:ind w:left="720" w:hanging="720"/>
        <w:bidi w:val="0"/>
        <w:jc w:val="start"/>
      </w:pPr>
      <w:r>
        <w:t xml:space="preserve">Petersen, L. (2016). Between Authorship and Oral Transmission: Negotiating the Attribution of Authorial, Oral and Collective Style Markers in Early Modern Playtexts. </w:t>
      </w:r>
      <w:r>
        <w:rPr>
          <w:i/>
        </w:rPr>
        <w:t>Journal of Early Modern Studies</w:t>
      </w:r>
      <w:r>
        <w:t>. https://doi.org/10.13128/jems-2279-7149-18093</w:t>
      </w:r>
      <w:bookmarkEnd w:id="1097"/>
      <w:r>
        <w:rPr>
          <w:i/>
          <w:color w:val="C00000"/>
        </w:rPr>
        <w:t xml:space="preserve"> [בדקו פרטים]</w:t>
      </w:r>
    </w:p>
    <w:p>
      <w:bookmarkStart w:id="1058" w:name="ref_59_bm"/>
      <w:pPr>
        <w:ind w:left="720" w:hanging="720"/>
        <w:bidi w:val="0"/>
        <w:jc w:val="start"/>
      </w:pPr>
      <w:r>
        <w:t xml:space="preserve">Radkova, L. (2009). Moral rights of authors in international copyright of the 21st century : time for consolidation? </w:t>
      </w:r>
      <w:r>
        <w:rPr>
          <w:i/>
        </w:rPr>
        <w:t>cIRcle (University of British Columbia)</w:t>
      </w:r>
      <w:r>
        <w:t>. https://doi.org/10.14288/1.0077577</w:t>
      </w:r>
      <w:bookmarkEnd w:id="1058"/>
      <w:r>
        <w:rPr>
          <w:i/>
          <w:color w:val="C00000"/>
        </w:rPr>
        <w:t xml:space="preserve"> [בדקו פרטים]</w:t>
      </w:r>
    </w:p>
    <w:p>
      <w:bookmarkStart w:id="1061" w:name="ref_62_bm"/>
      <w:pPr>
        <w:ind w:left="720" w:hanging="720"/>
        <w:bidi w:val="0"/>
        <w:jc w:val="start"/>
      </w:pPr>
      <w:r>
        <w:t xml:space="preserve">Rahmatian, A. (2013). Originality in UK Copyright Law: The Old “Skill and Labour” Doctrine Under Pressure. </w:t>
      </w:r>
      <w:r>
        <w:rPr>
          <w:i/>
        </w:rPr>
        <w:t>GRURRR. Gewerblicher Rechtsschutz Und Urheberrecht, Rechtsprechungs-Report/GRUR-DVD/GRUR-CD/IIC/Gewerblicher Rechtsschutz Und Urheberrecht/Gewerblicher Rechtsschutz Und Urheberrecht. Internationaler Teil</w:t>
      </w:r>
      <w:r>
        <w:t>. https://doi.org/10.1007/s40319-012-0003-4</w:t>
      </w:r>
      <w:bookmarkEnd w:id="1061"/>
      <w:r>
        <w:rPr>
          <w:i/>
          <w:color w:val="C00000"/>
        </w:rPr>
        <w:t xml:space="preserve"> [בדקו פרטים]</w:t>
      </w:r>
    </w:p>
    <w:p>
      <w:bookmarkStart w:id="1004" w:name="ref_5_bm"/>
      <w:pPr>
        <w:ind w:left="720" w:hanging="720"/>
        <w:bidi w:val="0"/>
        <w:jc w:val="start"/>
      </w:pPr>
      <w:r>
        <w:t xml:space="preserve">Razi, A., Bouzoubaa, L., Pessianzadeh, A., Seberger, J. S., &amp; Rezapour, R. (2025). Not a Swiss Army Knife: Academics’ Perceptions of Trade-Offs Around Generative Artificial Intelligence Use. </w:t>
      </w:r>
      <w:r>
        <w:rPr>
          <w:i/>
        </w:rPr>
        <w:t>Research Square</w:t>
      </w:r>
      <w:r>
        <w:t>. https://doi.org/10.21203/rs.3.rs-5686084/v1</w:t>
      </w:r>
      <w:bookmarkEnd w:id="1004"/>
      <w:r>
        <w:rPr>
          <w:i/>
          <w:color w:val="C00000"/>
        </w:rPr>
        <w:t xml:space="preserve"> [בדקו פרטים]</w:t>
      </w:r>
    </w:p>
    <w:p>
      <w:bookmarkStart w:id="1050" w:name="ref_51_bm"/>
      <w:pPr>
        <w:ind w:left="720" w:hanging="720"/>
        <w:bidi w:val="0"/>
        <w:jc w:val="start"/>
      </w:pPr>
      <w:r>
        <w:t xml:space="preserve">Reichman, J. H., &amp; Okediji, R. L. (2012). When Copyright Law and Science Collide: Empowering Digitally Integrated Research Methods on a Global Scale. </w:t>
      </w:r>
      <w:r>
        <w:rPr>
          <w:i/>
        </w:rPr>
        <w:t>Minnesota Law Review</w:t>
      </w:r>
      <w:r>
        <w:t>. https://doi.org/10.24926/265535.1308</w:t>
      </w:r>
      <w:bookmarkEnd w:id="1050"/>
      <w:r>
        <w:rPr>
          <w:i/>
          <w:color w:val="C00000"/>
        </w:rPr>
        <w:t xml:space="preserve"> [בדקו פרטים]</w:t>
      </w:r>
    </w:p>
    <w:p>
      <w:bookmarkStart w:id="1020" w:name="ref_21_bm"/>
      <w:pPr>
        <w:ind w:left="720" w:hanging="720"/>
        <w:bidi w:val="0"/>
        <w:jc w:val="start"/>
      </w:pPr>
      <w:r>
        <w:rPr>
          <w:i/>
        </w:rPr>
        <w:t>Review for “Trends in Equal-Contribution Authorship: A Large-Scale Bibliometric Analysis of Biomedical Literature”</w:t>
      </w:r>
      <w:r>
        <w:t>. (2025a). https://doi.org/10.1162/qss.a.476/v1/review2</w:t>
      </w:r>
      <w:bookmarkEnd w:id="1020"/>
      <w:r>
        <w:rPr>
          <w:i/>
          <w:color w:val="C00000"/>
        </w:rPr>
        <w:t xml:space="preserve"> [בדקו פרטים]</w:t>
      </w:r>
    </w:p>
    <w:p>
      <w:bookmarkStart w:id="1023" w:name="ref_24_bm"/>
      <w:pPr>
        <w:ind w:left="720" w:hanging="720"/>
        <w:bidi w:val="0"/>
        <w:jc w:val="start"/>
      </w:pPr>
      <w:r>
        <w:rPr>
          <w:i/>
        </w:rPr>
        <w:t>Review for “Trends in Equal-Contribution Authorship: A Large-Scale Bibliometric Analysis of Biomedical Literature”</w:t>
      </w:r>
      <w:r>
        <w:t>. (2025b). https://doi.org/10.1162/qss.a.476/v1/review1</w:t>
      </w:r>
      <w:bookmarkEnd w:id="1023"/>
      <w:r>
        <w:rPr>
          <w:i/>
          <w:color w:val="C00000"/>
        </w:rPr>
        <w:t xml:space="preserve"> [בדקו פרטים]</w:t>
      </w:r>
    </w:p>
    <w:p>
      <w:bookmarkStart w:id="1083" w:name="ref_84_bm"/>
      <w:pPr>
        <w:ind w:left="720" w:hanging="720"/>
        <w:bidi w:val="0"/>
        <w:jc w:val="start"/>
      </w:pPr>
      <w:r>
        <w:rPr>
          <w:i/>
        </w:rPr>
        <w:t>Review for “Trends in Equal-Contribution Authorship: A Large-Scale Bibliometric Analysis of Biomedical Literature”</w:t>
      </w:r>
      <w:r>
        <w:t>. (2025c). https://doi.org/10.1162/qss.a.476/v2/review1</w:t>
      </w:r>
      <w:bookmarkEnd w:id="1083"/>
      <w:r>
        <w:rPr>
          <w:i/>
          <w:color w:val="C00000"/>
        </w:rPr>
        <w:t xml:space="preserve"> [בדקו פרטים]</w:t>
      </w:r>
    </w:p>
    <w:p>
      <w:bookmarkStart w:id="1022" w:name="ref_23_bm"/>
      <w:pPr>
        <w:ind w:left="720" w:hanging="720"/>
        <w:bidi w:val="0"/>
        <w:jc w:val="start"/>
      </w:pPr>
      <w:r>
        <w:rPr>
          <w:i/>
        </w:rPr>
        <w:t>Review for “Trends in Equal-Contribution Authorship: A Large-Scale Bibliometric Analysis of Biomedical Literature”</w:t>
      </w:r>
      <w:r>
        <w:t>. (2026). https://doi.org/10.1162/qss.a.476/v3/review1</w:t>
      </w:r>
      <w:bookmarkEnd w:id="1022"/>
      <w:r>
        <w:rPr>
          <w:i/>
          <w:color w:val="C00000"/>
        </w:rPr>
        <w:t xml:space="preserve"> [בדקו פרטים]</w:t>
      </w:r>
    </w:p>
    <w:p>
      <w:bookmarkStart w:id="1001" w:name="ref_2_bm"/>
      <w:pPr>
        <w:ind w:left="720" w:hanging="720"/>
        <w:bidi w:val="0"/>
        <w:jc w:val="start"/>
      </w:pPr>
      <w:r>
        <w:t xml:space="preserve">Review of European and Comparative Law. (2025). </w:t>
      </w:r>
      <w:r>
        <w:rPr>
          <w:i/>
        </w:rPr>
        <w:t>Review of European and Comparative Law</w:t>
      </w:r>
      <w:r>
        <w:t>. https://doi.org/10.31743/recl</w:t>
      </w:r>
      <w:bookmarkEnd w:id="1001"/>
      <w:r>
        <w:rPr>
          <w:i/>
          <w:color w:val="C00000"/>
        </w:rPr>
        <w:t xml:space="preserve"> [בדקו פרטים]</w:t>
      </w:r>
    </w:p>
    <w:p>
      <w:bookmarkStart w:id="1077" w:name="ref_78_bm"/>
      <w:pPr>
        <w:ind w:left="720" w:hanging="720"/>
        <w:bidi w:val="0"/>
        <w:jc w:val="start"/>
      </w:pPr>
      <w:r>
        <w:t xml:space="preserve">Reynders, R. A. M., Riet, G. ter, Girolamo, N. D., Cavagnetto, D., &amp; Malički, M. (2023). </w:t>
      </w:r>
      <w:r>
        <w:rPr>
          <w:i/>
        </w:rPr>
        <w:t>Honorary authorship is highly prevalent in health sciences: systematic review and meta-analysis of surveys</w:t>
      </w:r>
      <w:r>
        <w:t>. https://doi.org/10.21203/rs.3.rs-3321504/v1</w:t>
      </w:r>
      <w:bookmarkEnd w:id="1077"/>
      <w:r>
        <w:rPr>
          <w:i/>
          <w:color w:val="C00000"/>
        </w:rPr>
        <w:t xml:space="preserve"> [בדקו פרטים]</w:t>
      </w:r>
    </w:p>
    <w:p>
      <w:bookmarkStart w:id="1049" w:name="ref_50_bm"/>
      <w:pPr>
        <w:ind w:left="720" w:hanging="720"/>
        <w:bidi w:val="0"/>
        <w:jc w:val="start"/>
      </w:pPr>
      <w:r>
        <w:t xml:space="preserve">Rioux, M., Fontaine, K., Schwartz, G., Auditrio, Oswaldo, F., -Av, T., Professor, L., Gualberto, Morin, E., Brown, J., Duguid, P., Cabral, A., Carvalho, A., (n.D, Gawer, A., Cusumano, M., Jenkins, H., Catherine, T., Kenney, M., … Unwin, T. (2006). Convention on the Protection and Promotion of the Diversity of Cultural Expressions. </w:t>
      </w:r>
      <w:r>
        <w:rPr>
          <w:i/>
        </w:rPr>
        <w:t>International Journal of Cultural Property</w:t>
      </w:r>
      <w:r>
        <w:t>. https://doi.org/10.1017/s0940739106060218</w:t>
      </w:r>
      <w:bookmarkEnd w:id="1049"/>
      <w:r>
        <w:rPr>
          <w:i/>
          <w:color w:val="C00000"/>
        </w:rPr>
        <w:t xml:space="preserve"> [בדקו פרטים]</w:t>
      </w:r>
    </w:p>
    <w:p>
      <w:bookmarkStart w:id="1065" w:name="ref_66_bm"/>
      <w:pPr>
        <w:ind w:left="720" w:hanging="720"/>
        <w:bidi w:val="0"/>
        <w:jc w:val="start"/>
      </w:pPr>
      <w:r>
        <w:t xml:space="preserve">Rodrigues, T. V. (2026). The Apt Curation Model: An Epistemic Virtue Theory of AI-Assisted Authorship. </w:t>
      </w:r>
      <w:r>
        <w:rPr>
          <w:i/>
        </w:rPr>
        <w:t>Philosophy &amp; Technology</w:t>
      </w:r>
      <w:r>
        <w:t>. https://doi.org/10.1007/s13347-026-01038-z</w:t>
      </w:r>
      <w:bookmarkEnd w:id="1065"/>
      <w:r>
        <w:rPr>
          <w:i/>
          <w:color w:val="C00000"/>
        </w:rPr>
        <w:t xml:space="preserve"> [בדקו פרטים]</w:t>
      </w:r>
    </w:p>
    <w:p>
      <w:bookmarkStart w:id="1110" w:name="ref_111_bm"/>
      <w:pPr>
        <w:ind w:left="720" w:hanging="720"/>
        <w:bidi w:val="0"/>
        <w:jc w:val="start"/>
      </w:pPr>
      <w:r>
        <w:t xml:space="preserve">Rodrigues, T. V. (2025). Distant Writing and The Epistemology of Authorship: On Creativity, Delegation, And Plagiarism in The Age Of AI. </w:t>
      </w:r>
      <w:r>
        <w:rPr>
          <w:i/>
        </w:rPr>
        <w:t>The International Journal of Social Sciences and Humanities Invention</w:t>
      </w:r>
      <w:r>
        <w:t>. https://doi.org/10.18535/ijsshi/v12i05.04</w:t>
      </w:r>
      <w:bookmarkEnd w:id="1110"/>
      <w:r>
        <w:rPr>
          <w:i/>
          <w:color w:val="C00000"/>
        </w:rPr>
        <w:t xml:space="preserve"> [בדקו פרטים]</w:t>
      </w:r>
    </w:p>
    <w:p>
      <w:bookmarkStart w:id="1066" w:name="ref_67_bm"/>
      <w:pPr>
        <w:ind w:left="720" w:hanging="720"/>
        <w:bidi w:val="0"/>
        <w:jc w:val="start"/>
      </w:pPr>
      <w:r>
        <w:t xml:space="preserve">Saaze, V. E. J. P. van. (2013). Installation Art and the Museum: Presentation and Conservation of Changing Artworks. </w:t>
      </w:r>
      <w:r>
        <w:rPr>
          <w:i/>
        </w:rPr>
        <w:t>OAPEN (The OAPEN Foundation)</w:t>
      </w:r>
      <w:r>
        <w:t>. https://doi.org/10.26530/oapen_449202</w:t>
      </w:r>
      <w:bookmarkEnd w:id="1066"/>
      <w:r>
        <w:rPr>
          <w:i/>
          <w:color w:val="C00000"/>
        </w:rPr>
        <w:t xml:space="preserve"> [בדקו פרטים]</w:t>
      </w:r>
    </w:p>
    <w:p>
      <w:bookmarkStart w:id="1045" w:name="ref_46_bm"/>
      <w:pPr>
        <w:ind w:left="720" w:hanging="720"/>
        <w:bidi w:val="0"/>
        <w:jc w:val="start"/>
      </w:pPr>
      <w:r>
        <w:t xml:space="preserve">Saeidnia, H. R., Hosseini, E., Abdoli, S., &amp; Ausloos, M. (2024). Unleashing the power of AI: a systematic review of cutting-edge techniques in AI-enhanced scientometrics, webometrics and bibliometrics. </w:t>
      </w:r>
      <w:r>
        <w:rPr>
          <w:i/>
        </w:rPr>
        <w:t>Library Hi Tech</w:t>
      </w:r>
      <w:r>
        <w:t>. https://doi.org/10.1108/lht-10-2023-0514</w:t>
      </w:r>
      <w:bookmarkEnd w:id="1045"/>
      <w:r>
        <w:rPr>
          <w:i/>
          <w:color w:val="C00000"/>
        </w:rPr>
        <w:t xml:space="preserve"> [בדקו פרטים]</w:t>
      </w:r>
    </w:p>
    <w:p>
      <w:bookmarkStart w:id="1018" w:name="ref_19_bm"/>
      <w:pPr>
        <w:ind w:left="720" w:hanging="720"/>
        <w:bidi w:val="0"/>
        <w:jc w:val="start"/>
      </w:pPr>
      <w:r>
        <w:t xml:space="preserve">Savoy, J. (2020a). Author Profiling of Tweets. </w:t>
      </w:r>
      <w:r>
        <w:rPr>
          <w:i/>
        </w:rPr>
        <w:t>Machine Learning Methods for Stylometry</w:t>
      </w:r>
      <w:r>
        <w:t>. https://doi.org/10.1007/978-3-030-53360-1_9</w:t>
      </w:r>
      <w:bookmarkEnd w:id="1018"/>
      <w:r>
        <w:rPr>
          <w:i/>
          <w:color w:val="C00000"/>
        </w:rPr>
        <w:t xml:space="preserve"> [בדקו פרטים]</w:t>
      </w:r>
    </w:p>
    <w:p>
      <w:bookmarkStart w:id="1011" w:name="ref_12_bm"/>
      <w:pPr>
        <w:ind w:left="720" w:hanging="720"/>
        <w:bidi w:val="0"/>
        <w:jc w:val="start"/>
      </w:pPr>
      <w:r>
        <w:t xml:space="preserve">Savoy, J. (2020b). Elena Ferrante: A Case Study in Authorship Attribution. </w:t>
      </w:r>
      <w:r>
        <w:rPr>
          <w:i/>
        </w:rPr>
        <w:t>Machine Learning Methods for Stylometry</w:t>
      </w:r>
      <w:r>
        <w:t>. https://doi.org/10.1007/978-3-030-53360-1_8</w:t>
      </w:r>
      <w:bookmarkEnd w:id="1011"/>
      <w:r>
        <w:rPr>
          <w:i/>
          <w:color w:val="C00000"/>
        </w:rPr>
        <w:t xml:space="preserve"> [בדקו פרטים]</w:t>
      </w:r>
    </w:p>
    <w:p>
      <w:bookmarkStart w:id="1035" w:name="ref_36_bm"/>
      <w:pPr>
        <w:ind w:left="720" w:hanging="720"/>
        <w:bidi w:val="0"/>
        <w:jc w:val="start"/>
      </w:pPr>
      <w:r>
        <w:t xml:space="preserve">Savoy, J. (2020c). Introduction to Stylistic Models and Applications. </w:t>
      </w:r>
      <w:r>
        <w:rPr>
          <w:i/>
        </w:rPr>
        <w:t>Machine Learning Methods for Stylometry</w:t>
      </w:r>
      <w:r>
        <w:t>. https://doi.org/10.1007/978-3-030-53360-1_1</w:t>
      </w:r>
      <w:bookmarkEnd w:id="1035"/>
      <w:r>
        <w:rPr>
          <w:i/>
          <w:color w:val="C00000"/>
        </w:rPr>
        <w:t xml:space="preserve"> [בדקו פרטים]</w:t>
      </w:r>
    </w:p>
    <w:p>
      <w:bookmarkStart w:id="1015" w:name="ref_16_bm"/>
      <w:pPr>
        <w:ind w:left="720" w:hanging="720"/>
        <w:bidi w:val="0"/>
        <w:jc w:val="start"/>
      </w:pPr>
      <w:r>
        <w:t xml:space="preserve">Savoy, J. (2020d). </w:t>
      </w:r>
      <w:r>
        <w:rPr>
          <w:i/>
        </w:rPr>
        <w:t>Machine Learning Methods for Stylometry</w:t>
      </w:r>
      <w:r>
        <w:t>. https://doi.org/10.1007/978-3-030-53360-1</w:t>
      </w:r>
      <w:bookmarkEnd w:id="1015"/>
      <w:r>
        <w:rPr>
          <w:i/>
          <w:color w:val="C00000"/>
        </w:rPr>
        <w:t xml:space="preserve"> [בדקו פרטים]</w:t>
      </w:r>
    </w:p>
    <w:p>
      <w:bookmarkStart w:id="1075" w:name="ref_76_bm"/>
      <w:pPr>
        <w:ind w:left="720" w:hanging="720"/>
        <w:bidi w:val="0"/>
        <w:jc w:val="start"/>
      </w:pPr>
      <w:r>
        <w:t xml:space="preserve">Shafiq, B. (2026). </w:t>
      </w:r>
      <w:r>
        <w:rPr>
          <w:i/>
        </w:rPr>
        <w:t>Authorship Without an Author: Rethinking Copyright Ownership in the Age of Generative AI</w:t>
      </w:r>
      <w:r>
        <w:t>. https://doi.org/10.2139/ssrn.6917558</w:t>
      </w:r>
      <w:bookmarkEnd w:id="1075"/>
      <w:r>
        <w:rPr>
          <w:i/>
          <w:color w:val="C00000"/>
        </w:rPr>
        <w:t xml:space="preserve"> [בדקו פרטים]</w:t>
      </w:r>
    </w:p>
    <w:p>
      <w:bookmarkStart w:id="1056" w:name="ref_57_bm"/>
      <w:pPr>
        <w:ind w:left="720" w:hanging="720"/>
        <w:bidi w:val="0"/>
        <w:jc w:val="start"/>
      </w:pPr>
      <w:r>
        <w:t xml:space="preserve">Shaw, B. G. (2007). More than the sum of the parts : shared representations in collaborative design interaction. </w:t>
      </w:r>
      <w:r>
        <w:rPr>
          <w:i/>
        </w:rPr>
        <w:t>Archive of Research Processes and Output Produced by RCA (Royal College of Art)</w:t>
      </w:r>
      <w:r>
        <w:t>. https://openalex.org/W129006893</w:t>
      </w:r>
      <w:bookmarkEnd w:id="1056"/>
      <w:r>
        <w:rPr>
          <w:i/>
          <w:color w:val="C00000"/>
        </w:rPr>
        <w:t xml:space="preserve"> [בדקו פרטים]</w:t>
      </w:r>
    </w:p>
    <w:p>
      <w:bookmarkStart w:id="1111" w:name="ref_112_bm"/>
      <w:pPr>
        <w:ind w:left="720" w:hanging="720"/>
        <w:bidi w:val="0"/>
        <w:jc w:val="start"/>
      </w:pPr>
      <w:r>
        <w:t xml:space="preserve">Silva, J. J. G. da, Gouveia, R. P., Zielinski, K., Oliveira, M. C. F. de, Amancio, D. R., Bruno, O. M., &amp; Oliveira, O. N. (2025). AI-Assisted Tools for Scientific Review Writing: Opportunities and Cautions. </w:t>
      </w:r>
      <w:r>
        <w:rPr>
          <w:i/>
        </w:rPr>
        <w:t>ACS Applied Materials &amp; Interfaces</w:t>
      </w:r>
      <w:r>
        <w:t>. https://doi.org/10.1021/acsami.5c08837</w:t>
      </w:r>
      <w:bookmarkEnd w:id="1111"/>
      <w:r>
        <w:rPr>
          <w:i/>
          <w:color w:val="C00000"/>
        </w:rPr>
        <w:t xml:space="preserve"> [בדקו פרטים]</w:t>
      </w:r>
    </w:p>
    <w:p>
      <w:bookmarkStart w:id="1060" w:name="ref_61_bm"/>
      <w:pPr>
        <w:ind w:left="720" w:hanging="720"/>
        <w:bidi w:val="0"/>
        <w:jc w:val="start"/>
      </w:pPr>
      <w:r>
        <w:t xml:space="preserve">Sodangi, E. in C. A. P. U., Suleiman, A. E. Prof. B., Haruna, P. E. Prof. A. S., &amp; Author, A. A. (2025). Zamfara International Journal of Education (ZIJE) VOLUME 5 NUMBER 3. </w:t>
      </w:r>
      <w:r>
        <w:rPr>
          <w:i/>
        </w:rPr>
        <w:t>Federal University Gusau Faculty of Education Journal</w:t>
      </w:r>
      <w:r>
        <w:t>. https://doi.org/10.64348/zije.202554</w:t>
      </w:r>
      <w:bookmarkEnd w:id="1060"/>
      <w:r>
        <w:rPr>
          <w:i/>
          <w:color w:val="C00000"/>
        </w:rPr>
        <w:t xml:space="preserve"> [בדקו פרטים]</w:t>
      </w:r>
    </w:p>
    <w:p>
      <w:bookmarkStart w:id="1103" w:name="ref_104_bm"/>
      <w:pPr>
        <w:ind w:left="720" w:hanging="720"/>
        <w:bidi w:val="0"/>
        <w:jc w:val="start"/>
      </w:pPr>
      <w:r>
        <w:t xml:space="preserve">Strømmen, H. M. (2019). Born-Again Bibles: Biblical Studies after the “Death of the Author.” </w:t>
      </w:r>
      <w:r>
        <w:rPr>
          <w:i/>
        </w:rPr>
        <w:t>Biblical Exegesis Without Authorial Intention?</w:t>
      </w:r>
      <w:r>
        <w:t xml:space="preserve"> https://doi.org/10.1163/9789004379558_008</w:t>
      </w:r>
      <w:bookmarkEnd w:id="1103"/>
      <w:r>
        <w:rPr>
          <w:i/>
          <w:color w:val="C00000"/>
        </w:rPr>
        <w:t xml:space="preserve"> [בדקו פרטים]</w:t>
      </w:r>
    </w:p>
    <w:p>
      <w:bookmarkStart w:id="1117" w:name="ref_118_bm"/>
      <w:pPr>
        <w:ind w:left="720" w:hanging="720"/>
        <w:bidi w:val="0"/>
        <w:jc w:val="start"/>
      </w:pPr>
      <w:r>
        <w:t xml:space="preserve">Sueur, C., Lombard, J., Capra, O., Beltzung, B., &amp; Pelé, M. (2024). Exploration of the creative processes in animals, robots, and AI: who holds the authorship? </w:t>
      </w:r>
      <w:r>
        <w:rPr>
          <w:i/>
        </w:rPr>
        <w:t>Humanities and Social Sciences Communications</w:t>
      </w:r>
      <w:r>
        <w:t>. https://doi.org/10.1057/s41599-024-03125-y</w:t>
      </w:r>
      <w:bookmarkEnd w:id="1117"/>
      <w:r>
        <w:rPr>
          <w:i/>
          <w:color w:val="C00000"/>
        </w:rPr>
        <w:t xml:space="preserve"> [בדקו פרטים]</w:t>
      </w:r>
    </w:p>
    <w:p>
      <w:bookmarkStart w:id="1043" w:name="ref_44_bm"/>
      <w:pPr>
        <w:ind w:left="720" w:hanging="720"/>
        <w:bidi w:val="0"/>
        <w:jc w:val="start"/>
      </w:pPr>
      <w:r>
        <w:t xml:space="preserve">Tahamtan, I., &amp; Bornmann, L. (2020). Altmetrics and societal impact measurements: Match or mismatch? A literature review. </w:t>
      </w:r>
      <w:r>
        <w:rPr>
          <w:i/>
        </w:rPr>
        <w:t>El Profesional de La Informacion</w:t>
      </w:r>
      <w:r>
        <w:t>. https://doi.org/10.3145/epi.2020.ene.02</w:t>
      </w:r>
      <w:bookmarkEnd w:id="1043"/>
      <w:r>
        <w:rPr>
          <w:i/>
          <w:color w:val="C00000"/>
        </w:rPr>
        <w:t xml:space="preserve"> [בדקו פרטים]</w:t>
      </w:r>
    </w:p>
    <w:p>
      <w:bookmarkStart w:id="1041" w:name="ref_42_bm"/>
      <w:pPr>
        <w:ind w:left="720" w:hanging="720"/>
        <w:bidi w:val="0"/>
        <w:jc w:val="start"/>
      </w:pPr>
      <w:r>
        <w:t xml:space="preserve">Tennant, J., Dugan, J. M., Graziotin, D., Jacques, D., Waldner, F., Mietchen, D., Elkhatib, Y., Collister, L., Pikas, C. K., Crick, T., Masuzzo, P., Caravaggi, A., Berg, D. R., Niemeyer, K. E., Ross‐Hellauer, T., Mannheimer, S., Rigling, L., Katz, D. S., Tzovaras, B. G., … Colomb, J. (2017a). A multi-disciplinary perspective on emergent and future innovations in peer review. </w:t>
      </w:r>
      <w:r>
        <w:rPr>
          <w:i/>
        </w:rPr>
        <w:t>F1000Research</w:t>
      </w:r>
      <w:r>
        <w:t>. https://doi.org/10.12688/f1000research.12037.3</w:t>
      </w:r>
      <w:bookmarkEnd w:id="1041"/>
      <w:r>
        <w:rPr>
          <w:i/>
          <w:color w:val="C00000"/>
        </w:rPr>
        <w:t xml:space="preserve"> [בדקו פרטים]</w:t>
      </w:r>
    </w:p>
    <w:p>
      <w:bookmarkStart w:id="1046" w:name="ref_47_bm"/>
      <w:pPr>
        <w:ind w:left="720" w:hanging="720"/>
        <w:bidi w:val="0"/>
        <w:jc w:val="start"/>
      </w:pPr>
      <w:r>
        <w:t xml:space="preserve">Tennant, J., Dugan, J. M., Graziotin, D., Jacques, D., Waldner, F., Mietchen, D., Elkhatib, Y., Collister, L., Pikas, C. K., Crick, T., Masuzzo, P., Caravaggi, A., Berg, D. R., Niemeyer, K. E., Ross‐Hellauer, T., Mannheimer, S., Rigling, L., Katz, D. S., Tzovaras, B. G., … Colomb, J. (2017b). A multi-disciplinary perspective on emergent and future innovations in peer review. </w:t>
      </w:r>
      <w:r>
        <w:rPr>
          <w:i/>
        </w:rPr>
        <w:t>F1000Research</w:t>
      </w:r>
      <w:r>
        <w:t>. https://doi.org/10.12688/f1000research.12037.2</w:t>
      </w:r>
      <w:bookmarkEnd w:id="1046"/>
      <w:r>
        <w:rPr>
          <w:i/>
          <w:color w:val="C00000"/>
        </w:rPr>
        <w:t xml:space="preserve"> [בדקו פרטים]</w:t>
      </w:r>
    </w:p>
    <w:p>
      <w:bookmarkStart w:id="1087" w:name="ref_88_bm"/>
      <w:pPr>
        <w:ind w:left="720" w:hanging="720"/>
        <w:bidi w:val="0"/>
        <w:jc w:val="start"/>
      </w:pPr>
      <w:r>
        <w:t xml:space="preserve">Towne, B. P. (2024). </w:t>
      </w:r>
      <w:r>
        <w:rPr>
          <w:i/>
        </w:rPr>
        <w:t>Reconceptualizing Authorship and Accountability in the Age of AI: A Legal-based Theoretical Framework for AI-Generated and Mediated Communication</w:t>
      </w:r>
      <w:r>
        <w:t>. https://doi.org/10.31219/osf.io/teymn</w:t>
      </w:r>
      <w:bookmarkEnd w:id="1087"/>
      <w:r>
        <w:rPr>
          <w:i/>
          <w:color w:val="C00000"/>
        </w:rPr>
        <w:t xml:space="preserve"> [בדקו פרטים]</w:t>
      </w:r>
    </w:p>
    <w:p>
      <w:bookmarkStart w:id="1024" w:name="ref_25_bm"/>
      <w:pPr>
        <w:ind w:left="720" w:hanging="720"/>
        <w:bidi w:val="0"/>
        <w:jc w:val="start"/>
      </w:pPr>
      <w:r>
        <w:t xml:space="preserve">Tu, X., Silva, M. T. da, Kumar, T., &amp; Zallio, M. (2026). </w:t>
      </w:r>
      <w:r>
        <w:rPr>
          <w:i/>
        </w:rPr>
        <w:t>Negotiated Augmentation: How Generative AI Reshapes Creative Workflows, Agency, and Authorship in Architecture and Design</w:t>
      </w:r>
      <w:r>
        <w:t>. https://doi.org/10.21203/rs.3.rs-8740007/v1</w:t>
      </w:r>
      <w:bookmarkEnd w:id="1024"/>
      <w:r>
        <w:rPr>
          <w:i/>
          <w:color w:val="C00000"/>
        </w:rPr>
        <w:t xml:space="preserve"> [בדקו פרטים]</w:t>
      </w:r>
    </w:p>
    <w:p>
      <w:bookmarkStart w:id="1076" w:name="ref_77_bm"/>
      <w:pPr>
        <w:ind w:left="720" w:hanging="720"/>
        <w:bidi w:val="0"/>
        <w:jc w:val="start"/>
      </w:pPr>
      <w:r>
        <w:t xml:space="preserve">Tumpa, E., Prity, A., &amp; Hasan, R. (2026). </w:t>
      </w:r>
      <w:r>
        <w:rPr>
          <w:i/>
        </w:rPr>
        <w:t>Generative AI in Cybersecurity: A Systematic Literature Review and Meta-Analysis</w:t>
      </w:r>
      <w:r>
        <w:t>. https://doi.org/10.20944/preprints202604.0324.v1</w:t>
      </w:r>
      <w:bookmarkEnd w:id="1076"/>
      <w:r>
        <w:rPr>
          <w:i/>
          <w:color w:val="C00000"/>
        </w:rPr>
        <w:t xml:space="preserve"> [בדקו פרטים]</w:t>
      </w:r>
    </w:p>
    <w:p>
      <w:bookmarkStart w:id="1042" w:name="ref_43_bm"/>
      <w:pPr>
        <w:ind w:left="720" w:hanging="720"/>
        <w:bidi w:val="0"/>
        <w:jc w:val="start"/>
      </w:pPr>
      <w:r>
        <w:t xml:space="preserve">unknown, (:unkn). (2014). </w:t>
      </w:r>
      <w:r>
        <w:rPr>
          <w:i/>
        </w:rPr>
        <w:t>That Wonderful Composite Called Author</w:t>
      </w:r>
      <w:r>
        <w:t>. https://doi.org/10.1163/9789004279421</w:t>
      </w:r>
      <w:bookmarkEnd w:id="1042"/>
      <w:r>
        <w:rPr>
          <w:i/>
          <w:color w:val="C00000"/>
        </w:rPr>
        <w:t xml:space="preserve"> [בדקו פרטים]</w:t>
      </w:r>
    </w:p>
    <w:p>
      <w:bookmarkStart w:id="1068" w:name="ref_69_bm"/>
      <w:pPr>
        <w:ind w:left="720" w:hanging="720"/>
        <w:bidi w:val="0"/>
        <w:jc w:val="start"/>
      </w:pPr>
      <w:r>
        <w:t xml:space="preserve">van Dijck, J., Ketelaar, E., &amp; Neef, S. A. J. (2006). Sign Here! : Handwriting in the Age of New Media. </w:t>
      </w:r>
      <w:r>
        <w:rPr>
          <w:i/>
        </w:rPr>
        <w:t>Amsterdam University Press eBooks</w:t>
      </w:r>
      <w:r>
        <w:t>. https://doi.org/10.5117/9789053568163</w:t>
      </w:r>
      <w:bookmarkEnd w:id="1068"/>
      <w:r>
        <w:rPr>
          <w:i/>
          <w:color w:val="C00000"/>
        </w:rPr>
        <w:t xml:space="preserve"> [בדקו פרטים]</w:t>
      </w:r>
    </w:p>
    <w:p>
      <w:bookmarkStart w:id="1052" w:name="ref_53_bm"/>
      <w:pPr>
        <w:ind w:left="720" w:hanging="720"/>
        <w:bidi w:val="0"/>
        <w:jc w:val="start"/>
      </w:pPr>
      <w:r>
        <w:t xml:space="preserve">Velden, T., &amp; Lagoze, C. (2009). The Value of New Scientific Communication Models for Chemistry. </w:t>
      </w:r>
      <w:r>
        <w:rPr>
          <w:i/>
        </w:rPr>
        <w:t>eCommons (Cornell University)</w:t>
      </w:r>
      <w:r>
        <w:t>. https://openalex.org/W90302438</w:t>
      </w:r>
      <w:bookmarkEnd w:id="1052"/>
      <w:r>
        <w:rPr>
          <w:i/>
          <w:color w:val="C00000"/>
        </w:rPr>
        <w:t xml:space="preserve"> [בדקו פרטים]</w:t>
      </w:r>
    </w:p>
    <w:p>
      <w:bookmarkStart w:id="1070" w:name="ref_71_bm"/>
      <w:pPr>
        <w:ind w:left="720" w:hanging="720"/>
        <w:bidi w:val="0"/>
        <w:jc w:val="start"/>
      </w:pPr>
      <w:r>
        <w:t xml:space="preserve">Volume 44 (2024). (2024). </w:t>
      </w:r>
      <w:r>
        <w:rPr>
          <w:i/>
        </w:rPr>
        <w:t>Swiss Papers in English Language and Literature</w:t>
      </w:r>
      <w:r>
        <w:t>. https://doi.org/10.33675/spell/2024/44/1</w:t>
      </w:r>
      <w:bookmarkEnd w:id="1070"/>
      <w:r>
        <w:rPr>
          <w:i/>
          <w:color w:val="C00000"/>
        </w:rPr>
        <w:t xml:space="preserve"> [בדקו פרטים]</w:t>
      </w:r>
    </w:p>
    <w:p>
      <w:bookmarkStart w:id="1055" w:name="ref_56_bm"/>
      <w:pPr>
        <w:ind w:left="720" w:hanging="720"/>
        <w:bidi w:val="0"/>
        <w:jc w:val="start"/>
      </w:pPr>
      <w:r>
        <w:t xml:space="preserve">Wallenberg, L., Papadopoulou, F., Koskinen, M., &amp; Soila, T. (2023). </w:t>
      </w:r>
      <w:r>
        <w:rPr>
          <w:i/>
        </w:rPr>
        <w:t>Now About All These Women in the Swedish Film Industry</w:t>
      </w:r>
      <w:r>
        <w:t>. https://doi.org/10.5040/9781501366185</w:t>
      </w:r>
      <w:bookmarkEnd w:id="1055"/>
      <w:r>
        <w:rPr>
          <w:i/>
          <w:color w:val="C00000"/>
        </w:rPr>
        <w:t xml:space="preserve"> [בדקו פרטים]</w:t>
      </w:r>
    </w:p>
    <w:p>
      <w:bookmarkStart w:id="1032" w:name="ref_33_bm"/>
      <w:pPr>
        <w:ind w:left="720" w:hanging="720"/>
        <w:bidi w:val="0"/>
        <w:jc w:val="start"/>
      </w:pPr>
      <w:r>
        <w:t xml:space="preserve">West, S. T. (1997). From owning to owning up : authorial rights and rhetorical responsibilities. </w:t>
      </w:r>
      <w:r>
        <w:rPr>
          <w:i/>
        </w:rPr>
        <w:t>OhioLink ETD Center (Ohio Library and Information Network)</w:t>
      </w:r>
      <w:r>
        <w:t>. https://openalex.org/W2597280120</w:t>
      </w:r>
      <w:bookmarkEnd w:id="1032"/>
      <w:r>
        <w:rPr>
          <w:i/>
          <w:color w:val="C00000"/>
        </w:rPr>
        <w:t xml:space="preserve"> [בדקו פרטים]</w:t>
      </w:r>
    </w:p>
    <w:p>
      <w:bookmarkStart w:id="1007" w:name="ref_8_bm"/>
      <w:pPr>
        <w:ind w:left="720" w:hanging="720"/>
        <w:bidi w:val="0"/>
        <w:jc w:val="start"/>
      </w:pPr>
      <w:r>
        <w:t xml:space="preserve">Wischmeyer, O. (2019). Author – Text – Intention: A Case Study on the Letter of James. </w:t>
      </w:r>
      <w:r>
        <w:rPr>
          <w:i/>
        </w:rPr>
        <w:t>Biblical Exegesis Without Authorial Intention?</w:t>
      </w:r>
      <w:r>
        <w:t xml:space="preserve"> https://doi.org/10.1163/9789004379558_004</w:t>
      </w:r>
      <w:bookmarkEnd w:id="1007"/>
      <w:r>
        <w:rPr>
          <w:i/>
          <w:color w:val="C00000"/>
        </w:rPr>
        <w:t xml:space="preserve"> [בדקו פרטים]</w:t>
      </w:r>
    </w:p>
    <w:p>
      <w:bookmarkStart w:id="1028" w:name="ref_29_bm"/>
      <w:pPr>
        <w:ind w:left="720" w:hanging="720"/>
        <w:bidi w:val="0"/>
        <w:jc w:val="start"/>
      </w:pPr>
      <w:r>
        <w:t xml:space="preserve">Wooden, S., Aldrich. (2025a). Prompt-Driven Conceptual Modeling: A Framework for Generative Theoretical Prototyping in the Age of AI. </w:t>
      </w:r>
      <w:r>
        <w:rPr>
          <w:i/>
        </w:rPr>
        <w:t>SSRN Electronic Journal</w:t>
      </w:r>
      <w:r>
        <w:t>. https://doi.org/10.2139/ssrn.5602411</w:t>
      </w:r>
      <w:bookmarkEnd w:id="1028"/>
      <w:r>
        <w:rPr>
          <w:i/>
          <w:color w:val="C00000"/>
        </w:rPr>
        <w:t xml:space="preserve"> [בדקו פרטים]</w:t>
      </w:r>
    </w:p>
    <w:p>
      <w:bookmarkStart w:id="1088" w:name="ref_89_bm"/>
      <w:pPr>
        <w:ind w:left="720" w:hanging="720"/>
        <w:bidi w:val="0"/>
        <w:jc w:val="start"/>
      </w:pPr>
      <w:r>
        <w:t xml:space="preserve">Wooden, S., Aldrich Khaalis. (2025b). </w:t>
      </w:r>
      <w:r>
        <w:rPr>
          <w:i/>
        </w:rPr>
        <w:t>Prompt-Driven Conceptual Modeling: A Framework for Generative Theoretical Prototyping in the Age of AI</w:t>
      </w:r>
      <w:r>
        <w:t>. https://doi.org/10.2139/ssrn.5469146</w:t>
      </w:r>
      <w:bookmarkEnd w:id="1088"/>
      <w:r>
        <w:rPr>
          <w:i/>
          <w:color w:val="C00000"/>
        </w:rPr>
        <w:t xml:space="preserve"> [בדקו פרטים]</w:t>
      </w:r>
    </w:p>
    <w:p>
      <w:bookmarkStart w:id="1053" w:name="ref_54_bm"/>
      <w:pPr>
        <w:ind w:left="720" w:hanging="720"/>
        <w:bidi w:val="0"/>
        <w:jc w:val="start"/>
      </w:pPr>
      <w:r>
        <w:t xml:space="preserve">Yánez, J. P., &amp; Davies, N. M. (2021). Dancing someone else’s movements through someone else’s body. </w:t>
      </w:r>
      <w:r>
        <w:rPr>
          <w:i/>
        </w:rPr>
        <w:t>Dance Articulated</w:t>
      </w:r>
      <w:r>
        <w:t>. https://doi.org/10.5324/da.v7i1.4224</w:t>
      </w:r>
      <w:bookmarkEnd w:id="1053"/>
      <w:r>
        <w:rPr>
          <w:i/>
          <w:color w:val="C00000"/>
        </w:rPr>
        <w:t xml:space="preserve"> [בדקו פרטים]</w:t>
      </w:r>
    </w:p>
    <w:p>
      <w:bookmarkStart w:id="1062" w:name="ref_63_bm"/>
      <w:pPr>
        <w:ind w:left="720" w:hanging="720"/>
        <w:bidi w:val="0"/>
        <w:jc w:val="start"/>
      </w:pPr>
      <w:r>
        <w:t xml:space="preserve">Yeo, G. (2010). “Nothing is the same as something else”: significant properties and notions of identity and originality. </w:t>
      </w:r>
      <w:r>
        <w:rPr>
          <w:i/>
        </w:rPr>
        <w:t>Archives and Museum Informatics</w:t>
      </w:r>
      <w:r>
        <w:t>. https://doi.org/10.1007/s10502-010-9119-9</w:t>
      </w:r>
      <w:bookmarkEnd w:id="1062"/>
      <w:r>
        <w:rPr>
          <w:i/>
          <w:color w:val="C00000"/>
        </w:rPr>
        <w:t xml:space="preserve"> [בדקו פרטים]</w:t>
      </w:r>
    </w:p>
    <w:p>
      <w:bookmarkStart w:id="1098" w:name="ref_99_bm"/>
      <w:pPr>
        <w:ind w:left="720" w:hanging="720"/>
        <w:bidi w:val="0"/>
        <w:jc w:val="start"/>
      </w:pPr>
      <w:r>
        <w:t xml:space="preserve">Zakiyah, N., Hardyanthi, T., Hidayati, N. K., &amp; Utomo, Y. A. T. (2025). ORIGINALITY, AUTHORSHIP, AND GENERATIVE AI: RETHINKING INDONESIAN COPYRIGHT LAW. </w:t>
      </w:r>
      <w:r>
        <w:rPr>
          <w:i/>
        </w:rPr>
        <w:t>Jurnal Hukum Progresif</w:t>
      </w:r>
      <w:r>
        <w:t>. https://doi.org/10.14710/jhp.13.2.385-416</w:t>
      </w:r>
      <w:bookmarkEnd w:id="1098"/>
      <w:r>
        <w:rPr>
          <w:i/>
          <w:color w:val="C00000"/>
        </w:rPr>
        <w:t xml:space="preserve"> [בדקו פרטים]</w:t>
      </w:r>
    </w:p>
    <w:p>
      <w:bookmarkStart w:id="1116" w:name="ref_117_bm"/>
      <w:pPr>
        <w:ind w:left="720" w:hanging="720"/>
        <w:bidi w:val="0"/>
        <w:jc w:val="start"/>
      </w:pPr>
      <w:r>
        <w:t xml:space="preserve">Zeilinger, M. (2021). Tactical Entanglements: AI Art, Creative Agency, and the Limits of Intellectual Property. </w:t>
      </w:r>
      <w:r>
        <w:rPr>
          <w:i/>
        </w:rPr>
        <w:t>Social Science Open Access Repository (GESIS – Leibniz Institute for the Social Sciences)</w:t>
      </w:r>
      <w:r>
        <w:t>. https://doi.org/10.14619/1839</w:t>
      </w:r>
      <w:bookmarkEnd w:id="1116"/>
      <w:r>
        <w:rPr>
          <w:i/>
          <w:color w:val="C00000"/>
        </w:rPr>
        <w:t xml:space="preserve"> [בדקו פרטים]</w:t>
      </w:r>
    </w:p>
    <w:p>
      <w:bookmarkStart w:id="1063" w:name="ref_64_bm"/>
      <w:pPr>
        <w:ind w:left="720" w:hanging="720"/>
        <w:bidi w:val="0"/>
        <w:jc w:val="start"/>
      </w:pPr>
      <w:r>
        <w:t xml:space="preserve">Zhang, H. (2018). </w:t>
      </w:r>
      <w:r>
        <w:rPr>
          <w:i/>
        </w:rPr>
        <w:t>Authorship and Text-making in Early China</w:t>
      </w:r>
      <w:r>
        <w:t>. https://doi.org/10.1515/9781501505133</w:t>
      </w:r>
      <w:bookmarkEnd w:id="1063"/>
      <w:r>
        <w:rPr>
          <w:i/>
          <w:color w:val="C00000"/>
        </w:rPr>
        <w:t xml:space="preserve"> [בדקו פרטים]</w:t>
      </w:r>
    </w:p>
    <w:p>
      <w:bookmarkStart w:id="1069" w:name="ref_70_bm"/>
      <w:pPr>
        <w:ind w:left="720" w:hanging="720"/>
        <w:bidi w:val="0"/>
        <w:jc w:val="start"/>
      </w:pPr>
      <w:r>
        <w:t xml:space="preserve">Zhu, C. (2011). Authoring collaborative projects : a study of intellectual property and free and open source software (FOSS) licensing schemes from a relational contract perspective. </w:t>
      </w:r>
      <w:r>
        <w:rPr>
          <w:i/>
        </w:rPr>
        <w:t>London School of Economics and Political Science Research Online (London School of Economics and Political Science)</w:t>
      </w:r>
      <w:r>
        <w:t>. https://openalex.org/W1539839410</w:t>
      </w:r>
      <w:bookmarkEnd w:id="1069"/>
      <w:r>
        <w:rPr>
          <w:i/>
          <w:color w:val="C00000"/>
        </w:rPr>
        <w:t xml:space="preserve"> [בדקו פרטים]</w:t>
      </w:r>
    </w:p>
    <w:p>
      <w:bookmarkStart w:id="1027" w:name="ref_28_bm"/>
      <w:pPr>
        <w:ind w:left="720" w:hanging="720"/>
        <w:bidi w:val="0"/>
        <w:jc w:val="start"/>
      </w:pPr>
      <w:r>
        <w:t xml:space="preserve">Zwart, H. (2026). AI and the Death of the Academic Author: A dialectical assessment of the challenges of generative AI for the concept and practice of academic authorship. </w:t>
      </w:r>
      <w:r>
        <w:rPr>
          <w:i/>
        </w:rPr>
        <w:t>Philosophical Approaches to Artificial Intelligence</w:t>
      </w:r>
      <w:r>
        <w:t>. https://doi.org/10.26650/bs/ah11t3.2026.002-5.01</w:t>
      </w:r>
      <w:bookmarkEnd w:id="1027"/>
      <w:r>
        <w:rPr>
          <w:i/>
          <w:color w:val="C00000"/>
        </w:rPr>
        <w:t xml:space="preserve"> [בדקו פרטים]</w:t>
      </w:r>
    </w:p>
    <w:p>
      <w:bookmarkStart w:id="1090" w:name="ref_91_bm"/>
      <w:pPr>
        <w:ind w:left="720" w:hanging="720"/>
        <w:bidi w:val="0"/>
        <w:jc w:val="start"/>
      </w:pPr>
      <w:r>
        <w:t xml:space="preserve">Żylińska, J. (2020). AI Art: Machine Visions and Warped Dreams. </w:t>
      </w:r>
      <w:r>
        <w:rPr>
          <w:i/>
        </w:rPr>
        <w:t>Goldsmiths (University of London)</w:t>
      </w:r>
      <w:r>
        <w:t>. https://openalex.org/W3043949589</w:t>
      </w:r>
      <w:bookmarkEnd w:id="1090"/>
      <w:r>
        <w:rPr>
          <w:i/>
          <w:color w:val="C00000"/>
        </w:rPr>
        <w:t xml:space="preserve"> [בדקו פרטים]</w:t>
      </w:r>
    </w:p>
    <w:sectPr w:rsidR="00FC693F" w:rsidRPr="0006063C" w:rsidSect="00034616">
      <w:footerReference w:type="default" r:id="rId9"/>
      <w:pgSz w:w="12240" w:h="15840"/>
      <w:pgMar w:top="1417" w:right="1417" w:bottom="1417" w:left="1417" w:header="720" w:footer="720" w:gutter="0"/>
      <w:cols w:space="720"/>
      <w:docGrid w:linePitch="360"/>
      <w:bidi/>
      <w:bidi/>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pPr>
    <w:r>
      <w:rPr>
        <w:rFonts w:ascii="Times New Roman" w:hAnsi="Times New Roman" w:cs="Times New Roman"/>
        <w:sz w:val="18"/>
        <w:rtl/>
      </w:rPr>
      <w:fldChar w:fldCharType="begin"/>
      <w:instrText xml:space="preserve">PAGE   \* MERGEFORMAT</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283"/>
      <w:jc w:val="both"/>
      <w:bidi/>
    </w:pPr>
    <w:rPr>
      <w:rFonts w:ascii="Times New Roman" w:hAnsi="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pPr>
    <w:rPr>
      <w:rFonts w:asciiTheme="majorHAnsi" w:eastAsiaTheme="majorEastAsia" w:hAnsiTheme="majorHAnsi" w:cstheme="majorBidi" w:ascii="Times New Roman" w:hAnsi="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bidi/>
    </w:pPr>
    <w:rPr>
      <w:rFonts w:asciiTheme="majorHAnsi" w:eastAsiaTheme="majorEastAsia" w:hAnsiTheme="majorHAnsi" w:cstheme="majorBidi" w:ascii="Times New Roman" w:hAnsi="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bidi/>
    </w:pPr>
    <w:rPr>
      <w:rFonts w:asciiTheme="majorHAnsi" w:eastAsiaTheme="majorEastAsia" w:hAnsiTheme="majorHAnsi" w:cstheme="majorBidi" w:ascii="Times New Roman" w:hAnsi="Times New Roman" w:cs="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