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start"/>
      </w:pPr>
    </w:p>
    <w:p>
      <w:pPr>
        <w:bidi/>
        <w:jc w:val="start"/>
      </w:pPr>
    </w:p>
    <w:p>
      <w:pPr>
        <w:bidi/>
        <w:jc w:val="start"/>
      </w:pPr>
    </w:p>
    <w:p>
      <w:pPr>
        <w:bidi/>
        <w:jc w:val="start"/>
      </w:pPr>
    </w:p>
    <w:p>
      <w:pPr>
        <w:jc w:val="center"/>
        <w:pBdr>
          <w:bottom w:val="single" w:sz="18" w:space="4" w:color="E06D00"/>
        </w:pBdr>
        <w:bidi/>
      </w:pPr>
      <w:r>
        <w:rPr>
          <w:b/>
          <w:color w:val="C06000"/>
          <w:sz w:val="52"/>
          <w:rtl/>
        </w:rPr>
        <w:t>דוח איכות, ראיות וביקורת ציטוטים אקדמית</w:t>
      </w:r>
    </w:p>
    <w:p>
      <w:pPr>
        <w:bidi/>
        <w:jc w:val="start"/>
      </w:pPr>
    </w:p>
    <w:p>
      <w:pPr>
        <w:jc w:val="center"/>
        <w:bidi/>
      </w:pPr>
      <w:r>
        <w:rPr>
          <w:i/>
          <w:sz w:val="30"/>
          <w:rtl/>
        </w:rPr>
        <w:t>‎Reconceptualising Authorship in the Age of Generative AI‎: ‎A Theoretical Review‎</w:t>
      </w:r>
    </w:p>
    <w:p>
      <w:pPr>
        <w:bidi/>
        <w:jc w:val="start"/>
      </w:pPr>
    </w:p>
    <w:p>
      <w:pPr>
        <w:jc w:val="center"/>
        <w:bidi/>
      </w:pPr>
      <w:r>
        <w:rPr>
          <w:color w:val="6B7280"/>
          <w:sz w:val="22"/>
          <w:rtl/>
        </w:rPr>
        <w:t>סקירה שקופה של העבודה שלך: כיצד אומתו מקורותיה, מה הנתונים תומכים בו, ומה יש לחזק לפני ההגשה.</w:t>
      </w:r>
    </w:p>
    <w:p>
      <w:pPr>
        <w:bidi/>
        <w:jc w:val="start"/>
      </w:pPr>
    </w:p>
    <w:p>
      <w:pPr>
        <w:bidi/>
        <w:jc w:val="start"/>
      </w:pPr>
    </w:p>
    <w:p>
      <w:pPr>
        <w:bidi/>
        <w:jc w:val="start"/>
      </w:pPr>
    </w:p>
    <w:p>
      <w:pPr>
        <w:bidi/>
        <w:jc w:val="start"/>
      </w:pPr>
    </w:p>
    <w:p>
      <w:pPr>
        <w:bidi/>
        <w:jc w:val="start"/>
      </w:pPr>
    </w:p>
    <w:p>
      <w:pPr>
        <w:bidi/>
        <w:jc w:val="start"/>
      </w:pPr>
    </w:p>
    <w:p>
      <w:pPr>
        <w:jc w:val="center"/>
        <w:bidi/>
      </w:pPr>
      <w:r>
        <w:rPr>
          <w:color w:val="6B7280"/>
          <w:sz w:val="22"/>
          <w:rtl/>
        </w:rPr>
        <w:t>הופק בתאריך: ‏2026-07-11‏</w:t>
      </w:r>
    </w:p>
    <w:p>
      <w:pPr>
        <w:bidi/>
        <w:jc w:val="start"/>
      </w:pPr>
      <w:r>
        <w:rPr>
          <w:rtl/>
        </w:rPr>
        <w:br w:type="page"/>
      </w:r>
    </w:p>
    <w:p>
      <w:pPr>
        <w:pStyle w:val="Heading1"/>
        <w:pageBreakBefore w:val="0"/>
        <w:jc w:val="start"/>
        <w:bidi/>
      </w:pPr>
      <w:r>
        <w:rPr>
          <w:rtl/>
        </w:rPr>
        <w:t>תוכן עניינים</w:t>
      </w:r>
    </w:p>
    <w:p>
      <w:pPr>
        <w:spacing w:after="40"/>
        <w:tabs>
          <w:tab w:pos="8640" w:val="right" w:leader="dot"/>
        </w:tabs>
        <w:bidi/>
        <w:jc w:val="start"/>
      </w:pPr>
      <w:r>
        <w:rPr>
          <w:b/>
          <w:rtl/>
        </w:rPr>
        <w:t>במבט חטוף</w:t>
      </w:r>
    </w:p>
    <w:p>
      <w:pPr>
        <w:spacing w:after="40"/>
        <w:tabs>
          <w:tab w:pos="8640" w:val="right" w:leader="dot"/>
        </w:tabs>
        <w:bidi/>
        <w:jc w:val="start"/>
      </w:pPr>
      <w:r>
        <w:rPr>
          <w:b/>
          <w:rtl/>
        </w:rPr>
        <w:t>מרשם מקורות</w:t>
      </w:r>
    </w:p>
    <w:p>
      <w:pPr>
        <w:spacing w:after="40"/>
        <w:tabs>
          <w:tab w:pos="8640" w:val="right" w:leader="dot"/>
        </w:tabs>
        <w:bidi/>
        <w:jc w:val="start"/>
      </w:pPr>
      <w:r>
        <w:rPr>
          <w:b/>
          <w:rtl/>
        </w:rPr>
        <w:t>ביקורת מקורות וציטוטים</w:t>
      </w:r>
    </w:p>
    <w:p>
      <w:pPr>
        <w:spacing w:after="40"/>
        <w:tabs>
          <w:tab w:pos="8640" w:val="right" w:leader="dot"/>
        </w:tabs>
        <w:bidi/>
        <w:jc w:val="start"/>
      </w:pPr>
      <w:r>
        <w:rPr>
          <w:b/>
          <w:rtl/>
        </w:rPr>
        <w:t>טבלת ראיות</w:t>
      </w:r>
    </w:p>
    <w:p>
      <w:pPr>
        <w:spacing w:after="40"/>
        <w:tabs>
          <w:tab w:pos="8640" w:val="right" w:leader="dot"/>
        </w:tabs>
        <w:bidi/>
        <w:jc w:val="start"/>
      </w:pPr>
      <w:r>
        <w:rPr>
          <w:b/>
          <w:rtl/>
        </w:rPr>
        <w:t>סיכום ספרות / מקורות</w:t>
      </w:r>
    </w:p>
    <w:p>
      <w:pPr>
        <w:spacing w:after="40"/>
        <w:tabs>
          <w:tab w:pos="8640" w:val="right" w:leader="dot"/>
        </w:tabs>
        <w:bidi/>
        <w:jc w:val="start"/>
      </w:pPr>
      <w:r>
        <w:rPr>
          <w:b/>
          <w:rtl/>
        </w:rPr>
        <w:t>סקירת איכות אקדמית</w:t>
      </w:r>
    </w:p>
    <w:p>
      <w:pPr>
        <w:spacing w:after="40"/>
        <w:tabs>
          <w:tab w:pos="8640" w:val="right" w:leader="dot"/>
        </w:tabs>
        <w:bidi/>
        <w:jc w:val="start"/>
      </w:pPr>
      <w:r>
        <w:rPr>
          <w:b/>
          <w:rtl/>
        </w:rPr>
        <w:t>לפני ההגשה</w:t>
      </w:r>
    </w:p>
    <w:p>
      <w:pPr>
        <w:spacing w:after="40"/>
        <w:tabs>
          <w:tab w:pos="8640" w:val="right" w:leader="dot"/>
        </w:tabs>
        <w:bidi/>
        <w:jc w:val="start"/>
      </w:pPr>
      <w:r>
        <w:rPr>
          <w:b/>
          <w:rtl/>
        </w:rPr>
        <w:t>מאגר המקורות — כל מקור שסקרנו</w:t>
      </w:r>
    </w:p>
    <w:p>
      <w:pPr>
        <w:spacing w:after="40"/>
        <w:tabs>
          <w:tab w:pos="8640" w:val="right" w:leader="dot"/>
        </w:tabs>
        <w:bidi/>
        <w:jc w:val="start"/>
      </w:pPr>
      <w:r>
        <w:rPr>
          <w:b/>
          <w:rtl/>
        </w:rPr>
        <w:t>החיפושים שביצענו</w:t>
      </w:r>
    </w:p>
    <w:p>
      <w:pPr>
        <w:sectPr>
          <w:pgSz w:w="12240" w:h="15840"/>
          <w:pgMar w:top="1440" w:right="1800" w:bottom="1440" w:left="1800" w:header="720" w:footer="720" w:gutter="0"/>
          <w:cols w:space="720"/>
          <w:docGrid w:linePitch="360"/>
          <w:bidi/>
        </w:sectPr>
        <w:bidi/>
        <w:jc w:val="start"/>
      </w:pPr>
    </w:p>
    <w:p>
      <w:pPr>
        <w:pStyle w:val="Heading1"/>
        <w:pBdr>
          <w:bottom w:val="single" w:sz="18" w:space="4" w:color="E06D00"/>
        </w:pBdr>
        <w:bidi/>
        <w:jc w:val="start"/>
      </w:pPr>
      <w:r>
        <w:rPr>
          <w:rtl/>
        </w:rPr>
        <w:t>במבט חטוף</w:t>
      </w:r>
    </w:p>
    <w:p>
      <w:pPr>
        <w:bidi/>
        <w:jc w:val="start"/>
      </w:pPr>
      <w:r>
        <w:rPr>
          <w:rFonts w:ascii="Times New Roman" w:hAnsi="Times New Roman" w:cs="Times New Roman"/>
          <w:b w:val="0"/>
          <w:color w:val="6B7280"/>
          <w:sz w:val="20"/>
          <w:rtl/>
        </w:rPr>
        <w:t>דוח זה מסכם את סקירת האיכות והמקורות האוטומטית של עבודתך. זהו מסמך הנחיה עבורך — לא ציון, ולא תחליף לשיקול הדעת האקדמי שלך.</w:t>
      </w:r>
    </w:p>
    <w:p>
      <w:pPr>
        <w:bidi/>
        <w:jc w:val="start"/>
      </w:pPr>
      <w:r>
        <w:rPr>
          <w:rFonts w:ascii="Times New Roman" w:hAnsi="Times New Roman" w:cs="Times New Roman"/>
          <w:b/>
          <w:sz w:val="26"/>
          <w:rtl/>
        </w:rPr>
        <w:t>איכות כתיבת הטיוטה: ‏90‏/‏100‏</w:t>
      </w:r>
    </w:p>
    <w:p>
      <w:pPr>
        <w:bidi/>
        <w:jc w:val="start"/>
      </w:pPr>
      <w:r>
        <w:rPr>
          <w:rFonts w:ascii="Times New Roman" w:hAnsi="Times New Roman" w:cs="Times New Roman"/>
          <w:b w:val="0"/>
          <w:color w:val="6B7280"/>
          <w:sz w:val="18"/>
          <w:rtl/>
        </w:rPr>
        <w:t>מבנה, בהירות וסגנון אקדמי של הטיוטה ‎(0‎–‎100)‎.</w:t>
      </w:r>
    </w:p>
    <w:p>
      <w:pPr>
        <w:bidi/>
        <w:jc w:val="start"/>
      </w:pPr>
      <w:r>
        <w:rPr>
          <w:rFonts w:ascii="Times New Roman" w:hAnsi="Times New Roman" w:cs="Times New Roman"/>
          <w:b/>
          <w:sz w:val="26"/>
          <w:rtl/>
        </w:rPr>
        <w:t>מוכנות להגשה: בינונית — מומלץ חיזוק ממוקד</w:t>
      </w:r>
    </w:p>
    <w:p>
      <w:pPr>
        <w:bidi/>
        <w:jc w:val="start"/>
      </w:pPr>
    </w:p>
    <w:p>
      <w:pPr>
        <w:bidi/>
        <w:jc w:val="start"/>
      </w:pPr>
      <w:r>
        <w:rPr>
          <w:rFonts w:ascii="Times New Roman" w:hAnsi="Times New Roman" w:cs="Times New Roman"/>
          <w:b w:val="0"/>
          <w:sz w:val="20"/>
          <w:rtl/>
        </w:rPr>
        <w:t>‏9‏/‏11‏ מקורות אומתו · עבור ‏0‏/‏11‏ חולצו ראיות · תמיכת הטענות הוערכה עבור ‏0‏/‏11‏</w:t>
      </w:r>
    </w:p>
    <w:p>
      <w:pPr>
        <w:bidi/>
        <w:jc w:val="start"/>
      </w:pPr>
    </w:p>
    <w:p>
      <w:pPr>
        <w:pStyle w:val="Heading1"/>
        <w:pBdr>
          <w:bottom w:val="single" w:sz="18" w:space="4" w:color="E06D00"/>
        </w:pBdr>
        <w:bidi/>
        <w:jc w:val="start"/>
      </w:pPr>
      <w:r>
        <w:rPr>
          <w:rtl/>
        </w:rPr>
        <w:t>מרשם מקורות</w:t>
      </w:r>
    </w:p>
    <w:p>
      <w:pPr>
        <w:bidi/>
        <w:jc w:val="start"/>
      </w:pPr>
      <w:r>
        <w:rPr>
          <w:rFonts w:ascii="Times New Roman" w:hAnsi="Times New Roman" w:cs="Times New Roman"/>
          <w:b w:val="0"/>
          <w:color w:val="6B7280"/>
          <w:sz w:val="20"/>
          <w:rtl/>
        </w:rPr>
        <w:t>כל מקור שעליו העבודה שלך מסתמכת, ממוספר ‏S1‏…‏Sn.‏ שאר הדוח מתייחס למזהים אלה במקום לחזור על הפניות מלאות.</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440"/>
        <w:gridCol w:w="1440"/>
        <w:gridCol w:w="1440"/>
        <w:gridCol w:w="1440"/>
        <w:gridCol w:w="1440"/>
        <w:gridCol w:w="1440"/>
      </w:tblGrid>
      <w:tr>
        <w:trPr>
          <w:tblHeader/>
          <w:cantSplit/>
        </w:trPr>
        <w:tc>
          <w:tcPr>
            <w:tcW w:type="dxa" w:w="720"/>
            <w:shd w:val="clear" w:color="auto" w:fill="FF7A00"/>
          </w:tcPr>
          <w:p>
            <w:pPr>
              <w:bidi/>
              <w:jc w:val="start"/>
            </w:pPr>
            <w:r>
              <w:rPr>
                <w:rtl/>
              </w:rPr>
            </w:r>
            <w:r>
              <w:rPr>
                <w:b/>
                <w:color w:val="FFFFFF"/>
                <w:sz w:val="18"/>
                <w:rtl/>
              </w:rPr>
              <w:t>מזהה</w:t>
            </w:r>
          </w:p>
        </w:tc>
        <w:tc>
          <w:tcPr>
            <w:tcW w:type="dxa" w:w="4032"/>
            <w:shd w:val="clear" w:color="auto" w:fill="FF7A00"/>
          </w:tcPr>
          <w:p>
            <w:pPr>
              <w:bidi/>
              <w:jc w:val="start"/>
            </w:pPr>
            <w:r>
              <w:rPr>
                <w:rtl/>
              </w:rPr>
            </w:r>
            <w:r>
              <w:rPr>
                <w:b/>
                <w:color w:val="FFFFFF"/>
                <w:sz w:val="18"/>
                <w:rtl/>
              </w:rPr>
              <w:t>הפניה (‏APA‏)</w:t>
            </w:r>
          </w:p>
        </w:tc>
        <w:tc>
          <w:tcPr>
            <w:tcW w:type="dxa" w:w="1872"/>
            <w:shd w:val="clear" w:color="auto" w:fill="FF7A00"/>
          </w:tcPr>
          <w:p>
            <w:pPr>
              <w:bidi w:val="0"/>
              <w:jc w:val="start"/>
            </w:pPr>
            <w:r/>
            <w:r>
              <w:rPr>
                <w:b/>
                <w:color w:val="FFFFFF"/>
                <w:sz w:val="18"/>
              </w:rPr>
              <w:t>DOI</w:t>
            </w:r>
          </w:p>
        </w:tc>
        <w:tc>
          <w:tcPr>
            <w:tcW w:type="dxa" w:w="1152"/>
            <w:shd w:val="clear" w:color="auto" w:fill="FF7A00"/>
          </w:tcPr>
          <w:p>
            <w:pPr>
              <w:bidi/>
              <w:jc w:val="start"/>
            </w:pPr>
            <w:r>
              <w:rPr>
                <w:rtl/>
              </w:rPr>
            </w:r>
            <w:r>
              <w:rPr>
                <w:b/>
                <w:color w:val="FFFFFF"/>
                <w:sz w:val="18"/>
                <w:rtl/>
              </w:rPr>
              <w:t>אומת?</w:t>
            </w:r>
          </w:p>
        </w:tc>
        <w:tc>
          <w:tcPr>
            <w:tcW w:type="dxa" w:w="1440"/>
            <w:shd w:val="clear" w:color="auto" w:fill="FF7A00"/>
          </w:tcPr>
          <w:p>
            <w:pPr>
              <w:bidi/>
              <w:jc w:val="start"/>
            </w:pPr>
            <w:r>
              <w:rPr>
                <w:rtl/>
              </w:rPr>
            </w:r>
            <w:r>
              <w:rPr>
                <w:b/>
                <w:color w:val="FFFFFF"/>
                <w:sz w:val="18"/>
                <w:rtl/>
              </w:rPr>
              <w:t>חולצו ראיות?</w:t>
            </w:r>
          </w:p>
        </w:tc>
        <w:tc>
          <w:tcPr>
            <w:tcW w:type="dxa" w:w="1296"/>
            <w:shd w:val="clear" w:color="auto" w:fill="FF7A00"/>
          </w:tcPr>
          <w:p>
            <w:pPr>
              <w:bidi/>
              <w:jc w:val="start"/>
            </w:pPr>
            <w:r>
              <w:rPr>
                <w:rtl/>
              </w:rPr>
            </w:r>
            <w:r>
              <w:rPr>
                <w:b/>
                <w:color w:val="FFFFFF"/>
                <w:sz w:val="18"/>
                <w:rtl/>
              </w:rPr>
              <w:t>תמיכה בטענה</w:t>
            </w:r>
          </w:p>
        </w:tc>
      </w:tr>
      <w:tr>
        <w:trPr>
          <w:cantSplit/>
        </w:trPr>
        <w:tc>
          <w:tcPr>
            <w:tcW w:type="dxa" w:w="720"/>
          </w:tcPr>
          <w:p>
            <w:pPr>
              <w:bidi w:val="0"/>
              <w:jc w:val="start"/>
            </w:pPr>
            <w:r/>
            <w:r>
              <w:rPr>
                <w:sz w:val="18"/>
              </w:rPr>
              <w:t>S1</w:t>
            </w:r>
          </w:p>
        </w:tc>
        <w:tc>
          <w:tcPr>
            <w:tcW w:type="dxa" w:w="4032"/>
          </w:tcPr>
          <w:p>
            <w:pPr>
              <w:bidi w:val="0"/>
              <w:jc w:val="start"/>
            </w:pPr>
            <w:r/>
            <w:r>
              <w:rPr>
                <w:sz w:val="18"/>
              </w:rPr>
              <w:t>Henrickson, L. (2021). Towards a new sociology of the text: the hermeneutics of algorithmic authorship. Figshare. https://doi.org/10.26174/thesis.lboro.10596404.v1</w:t>
            </w:r>
          </w:p>
        </w:tc>
        <w:tc>
          <w:tcPr>
            <w:tcW w:type="dxa" w:w="1872"/>
          </w:tcPr>
          <w:p>
            <w:pPr>
              <w:bidi w:val="0"/>
              <w:jc w:val="start"/>
            </w:pPr>
            <w:r/>
            <w:r>
              <w:rPr>
                <w:sz w:val="18"/>
              </w:rPr>
              <w:t>10.26174/thesis.lboro.10596404.v1</w:t>
            </w:r>
          </w:p>
        </w:tc>
        <w:tc>
          <w:tcPr>
            <w:tcW w:type="dxa" w:w="1152"/>
          </w:tcPr>
          <w:p>
            <w:pPr>
              <w:bidi/>
              <w:jc w:val="start"/>
            </w:pPr>
            <w:r>
              <w:rPr>
                <w:rtl/>
              </w:rPr>
            </w:r>
            <w:r>
              <w:rPr>
                <w:sz w:val="18"/>
                <w:rtl/>
              </w:rPr>
              <w:t>לא</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r>
        <w:trPr>
          <w:cantSplit/>
        </w:trPr>
        <w:tc>
          <w:tcPr>
            <w:tcW w:type="dxa" w:w="720"/>
            <w:shd w:val="clear" w:color="auto" w:fill="FFF5EB"/>
          </w:tcPr>
          <w:p>
            <w:pPr>
              <w:bidi w:val="0"/>
              <w:jc w:val="start"/>
            </w:pPr>
            <w:r/>
            <w:r>
              <w:rPr>
                <w:sz w:val="18"/>
              </w:rPr>
              <w:t>S2</w:t>
            </w:r>
          </w:p>
        </w:tc>
        <w:tc>
          <w:tcPr>
            <w:tcW w:type="dxa" w:w="4032"/>
            <w:shd w:val="clear" w:color="auto" w:fill="FFF5EB"/>
          </w:tcPr>
          <w:p>
            <w:pPr>
              <w:bidi w:val="0"/>
              <w:jc w:val="start"/>
            </w:pPr>
            <w:r/>
            <w:r>
              <w:rPr>
                <w:sz w:val="18"/>
              </w:rPr>
              <w:t>Rodrigues, T. V. (2025). Distant writing and the epistemology of authorship: On creativity, delegation, and plagiarism in the age of AI. The International Journal of Social Sciences and Humanities Invention. https://doi.org/10.18535/ijsshi/v12i05.04</w:t>
            </w:r>
          </w:p>
        </w:tc>
        <w:tc>
          <w:tcPr>
            <w:tcW w:type="dxa" w:w="1872"/>
            <w:shd w:val="clear" w:color="auto" w:fill="FFF5EB"/>
          </w:tcPr>
          <w:p>
            <w:pPr>
              <w:bidi w:val="0"/>
              <w:jc w:val="start"/>
            </w:pPr>
            <w:r/>
            <w:r>
              <w:rPr>
                <w:sz w:val="18"/>
              </w:rPr>
              <w:t>10.18535/ijsshi/v12i05.04</w:t>
            </w:r>
          </w:p>
        </w:tc>
        <w:tc>
          <w:tcPr>
            <w:tcW w:type="dxa" w:w="1152"/>
            <w:shd w:val="clear" w:color="auto" w:fill="FFF5EB"/>
          </w:tcPr>
          <w:p>
            <w:pPr>
              <w:bidi/>
              <w:jc w:val="start"/>
            </w:pPr>
            <w:r>
              <w:rPr>
                <w:rtl/>
              </w:rPr>
            </w:r>
            <w:r>
              <w:rPr>
                <w:sz w:val="18"/>
                <w:rtl/>
              </w:rPr>
              <w:t>כן</w:t>
            </w:r>
          </w:p>
        </w:tc>
        <w:tc>
          <w:tcPr>
            <w:tcW w:type="dxa" w:w="1440"/>
            <w:shd w:val="clear" w:color="auto" w:fill="FFF5EB"/>
          </w:tcPr>
          <w:p>
            <w:pPr>
              <w:bidi/>
              <w:jc w:val="start"/>
            </w:pPr>
            <w:r>
              <w:rPr>
                <w:rtl/>
              </w:rPr>
            </w:r>
            <w:r>
              <w:rPr>
                <w:sz w:val="18"/>
                <w:rtl/>
              </w:rPr>
              <w:t>לא</w:t>
            </w:r>
          </w:p>
        </w:tc>
        <w:tc>
          <w:tcPr>
            <w:tcW w:type="dxa" w:w="1296"/>
            <w:shd w:val="clear" w:color="auto" w:fill="FFF5EB"/>
          </w:tcPr>
          <w:p>
            <w:pPr>
              <w:bidi/>
              <w:jc w:val="start"/>
            </w:pPr>
            <w:r>
              <w:rPr>
                <w:rtl/>
              </w:rPr>
            </w:r>
            <w:r>
              <w:rPr>
                <w:sz w:val="18"/>
                <w:rtl/>
              </w:rPr>
              <w:t>לא הוערך</w:t>
            </w:r>
          </w:p>
        </w:tc>
      </w:tr>
      <w:tr>
        <w:trPr>
          <w:cantSplit/>
        </w:trPr>
        <w:tc>
          <w:tcPr>
            <w:tcW w:type="dxa" w:w="720"/>
          </w:tcPr>
          <w:p>
            <w:pPr>
              <w:bidi w:val="0"/>
              <w:jc w:val="start"/>
            </w:pPr>
            <w:r/>
            <w:r>
              <w:rPr>
                <w:sz w:val="18"/>
              </w:rPr>
              <w:t>S3</w:t>
            </w:r>
          </w:p>
        </w:tc>
        <w:tc>
          <w:tcPr>
            <w:tcW w:type="dxa" w:w="4032"/>
          </w:tcPr>
          <w:p>
            <w:pPr>
              <w:bidi w:val="0"/>
              <w:jc w:val="start"/>
            </w:pPr>
            <w:r/>
            <w:r>
              <w:rPr>
                <w:sz w:val="18"/>
              </w:rPr>
              <w:t>Adema, J. (2021). Living Books. The MIT Press eBooks. https://doi.org/10.7551/mitpress/11297.001.0001</w:t>
            </w:r>
          </w:p>
        </w:tc>
        <w:tc>
          <w:tcPr>
            <w:tcW w:type="dxa" w:w="1872"/>
          </w:tcPr>
          <w:p>
            <w:pPr>
              <w:bidi w:val="0"/>
              <w:jc w:val="start"/>
            </w:pPr>
            <w:r/>
            <w:r>
              <w:rPr>
                <w:sz w:val="18"/>
              </w:rPr>
              <w:t>10.7551/mitpress/11297.001.0001</w:t>
            </w:r>
          </w:p>
        </w:tc>
        <w:tc>
          <w:tcPr>
            <w:tcW w:type="dxa" w:w="1152"/>
          </w:tcPr>
          <w:p>
            <w:pPr>
              <w:bidi/>
              <w:jc w:val="start"/>
            </w:pPr>
            <w:r>
              <w:rPr>
                <w:rtl/>
              </w:rPr>
            </w:r>
            <w:r>
              <w:rPr>
                <w:sz w:val="18"/>
                <w:rtl/>
              </w:rPr>
              <w:t>כן</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r>
        <w:trPr>
          <w:cantSplit/>
        </w:trPr>
        <w:tc>
          <w:tcPr>
            <w:tcW w:type="dxa" w:w="720"/>
            <w:shd w:val="clear" w:color="auto" w:fill="FFF5EB"/>
          </w:tcPr>
          <w:p>
            <w:pPr>
              <w:bidi w:val="0"/>
              <w:jc w:val="start"/>
            </w:pPr>
            <w:r/>
            <w:r>
              <w:rPr>
                <w:sz w:val="18"/>
              </w:rPr>
              <w:t>S4</w:t>
            </w:r>
          </w:p>
        </w:tc>
        <w:tc>
          <w:tcPr>
            <w:tcW w:type="dxa" w:w="4032"/>
            <w:shd w:val="clear" w:color="auto" w:fill="FFF5EB"/>
          </w:tcPr>
          <w:p>
            <w:pPr>
              <w:bidi w:val="0"/>
              <w:jc w:val="start"/>
            </w:pPr>
            <w:r/>
            <w:r>
              <w:rPr>
                <w:sz w:val="18"/>
              </w:rPr>
              <w:t>Behzadi, L., Hämeen‐Anttila, J., Ghersetti, A., Gutas, D., &amp; Görke, A. (2015). Concepts of authorship in pre-modern Arabic texts. Bamberger Orientstudien. https://doi.org/10.20378/irb-40118</w:t>
            </w:r>
          </w:p>
        </w:tc>
        <w:tc>
          <w:tcPr>
            <w:tcW w:type="dxa" w:w="1872"/>
            <w:shd w:val="clear" w:color="auto" w:fill="FFF5EB"/>
          </w:tcPr>
          <w:p>
            <w:pPr>
              <w:bidi w:val="0"/>
              <w:jc w:val="start"/>
            </w:pPr>
            <w:r/>
            <w:r>
              <w:rPr>
                <w:sz w:val="18"/>
              </w:rPr>
              <w:t>10.20378/irb-40118</w:t>
            </w:r>
          </w:p>
        </w:tc>
        <w:tc>
          <w:tcPr>
            <w:tcW w:type="dxa" w:w="1152"/>
            <w:shd w:val="clear" w:color="auto" w:fill="FFF5EB"/>
          </w:tcPr>
          <w:p>
            <w:pPr>
              <w:bidi/>
              <w:jc w:val="start"/>
            </w:pPr>
            <w:r>
              <w:rPr>
                <w:rtl/>
              </w:rPr>
            </w:r>
            <w:r>
              <w:rPr>
                <w:sz w:val="18"/>
                <w:rtl/>
              </w:rPr>
              <w:t>כן</w:t>
            </w:r>
          </w:p>
        </w:tc>
        <w:tc>
          <w:tcPr>
            <w:tcW w:type="dxa" w:w="1440"/>
            <w:shd w:val="clear" w:color="auto" w:fill="FFF5EB"/>
          </w:tcPr>
          <w:p>
            <w:pPr>
              <w:bidi/>
              <w:jc w:val="start"/>
            </w:pPr>
            <w:r>
              <w:rPr>
                <w:rtl/>
              </w:rPr>
            </w:r>
            <w:r>
              <w:rPr>
                <w:sz w:val="18"/>
                <w:rtl/>
              </w:rPr>
              <w:t>לא</w:t>
            </w:r>
          </w:p>
        </w:tc>
        <w:tc>
          <w:tcPr>
            <w:tcW w:type="dxa" w:w="1296"/>
            <w:shd w:val="clear" w:color="auto" w:fill="FFF5EB"/>
          </w:tcPr>
          <w:p>
            <w:pPr>
              <w:bidi/>
              <w:jc w:val="start"/>
            </w:pPr>
            <w:r>
              <w:rPr>
                <w:rtl/>
              </w:rPr>
            </w:r>
            <w:r>
              <w:rPr>
                <w:sz w:val="18"/>
                <w:rtl/>
              </w:rPr>
              <w:t>לא הוערך</w:t>
            </w:r>
          </w:p>
        </w:tc>
      </w:tr>
      <w:tr>
        <w:trPr>
          <w:cantSplit/>
        </w:trPr>
        <w:tc>
          <w:tcPr>
            <w:tcW w:type="dxa" w:w="720"/>
          </w:tcPr>
          <w:p>
            <w:pPr>
              <w:bidi w:val="0"/>
              <w:jc w:val="start"/>
            </w:pPr>
            <w:r/>
            <w:r>
              <w:rPr>
                <w:sz w:val="18"/>
              </w:rPr>
              <w:t>S5</w:t>
            </w:r>
          </w:p>
        </w:tc>
        <w:tc>
          <w:tcPr>
            <w:tcW w:type="dxa" w:w="4032"/>
          </w:tcPr>
          <w:p>
            <w:pPr>
              <w:bidi w:val="0"/>
              <w:jc w:val="start"/>
            </w:pPr>
            <w:r/>
            <w:r>
              <w:rPr>
                <w:sz w:val="18"/>
              </w:rPr>
              <w:t>Fathallah, J. (2017). Fanfiction and the Author. Amsterdam University Press eBooks. https://doi.org/10.1515/9789048529087</w:t>
            </w:r>
          </w:p>
        </w:tc>
        <w:tc>
          <w:tcPr>
            <w:tcW w:type="dxa" w:w="1872"/>
          </w:tcPr>
          <w:p>
            <w:pPr>
              <w:bidi w:val="0"/>
              <w:jc w:val="start"/>
            </w:pPr>
            <w:r/>
            <w:r>
              <w:rPr>
                <w:sz w:val="18"/>
              </w:rPr>
              <w:t>10.1515/9789048529087</w:t>
            </w:r>
          </w:p>
        </w:tc>
        <w:tc>
          <w:tcPr>
            <w:tcW w:type="dxa" w:w="1152"/>
          </w:tcPr>
          <w:p>
            <w:pPr>
              <w:bidi/>
              <w:jc w:val="start"/>
            </w:pPr>
            <w:r>
              <w:rPr>
                <w:rtl/>
              </w:rPr>
            </w:r>
            <w:r>
              <w:rPr>
                <w:sz w:val="18"/>
                <w:rtl/>
              </w:rPr>
              <w:t>כן</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r>
        <w:trPr>
          <w:cantSplit/>
        </w:trPr>
        <w:tc>
          <w:tcPr>
            <w:tcW w:type="dxa" w:w="720"/>
            <w:shd w:val="clear" w:color="auto" w:fill="FFF5EB"/>
          </w:tcPr>
          <w:p>
            <w:pPr>
              <w:bidi w:val="0"/>
              <w:jc w:val="start"/>
            </w:pPr>
            <w:r/>
            <w:r>
              <w:rPr>
                <w:sz w:val="18"/>
              </w:rPr>
              <w:t>S6</w:t>
            </w:r>
          </w:p>
        </w:tc>
        <w:tc>
          <w:tcPr>
            <w:tcW w:type="dxa" w:w="4032"/>
            <w:shd w:val="clear" w:color="auto" w:fill="FFF5EB"/>
          </w:tcPr>
          <w:p>
            <w:pPr>
              <w:bidi w:val="0"/>
              <w:jc w:val="start"/>
            </w:pPr>
            <w:r/>
            <w:r>
              <w:rPr>
                <w:sz w:val="18"/>
              </w:rPr>
              <w:t>Zeilinger, M. (2021). Tactical entanglements: AI art, creative agency, and the limits of intellectual property. Social Science Open Access Repository (GESIS – Leibniz Institute for the Social Sciences). https://doi.org/10.14619/1839</w:t>
            </w:r>
          </w:p>
        </w:tc>
        <w:tc>
          <w:tcPr>
            <w:tcW w:type="dxa" w:w="1872"/>
            <w:shd w:val="clear" w:color="auto" w:fill="FFF5EB"/>
          </w:tcPr>
          <w:p>
            <w:pPr>
              <w:bidi w:val="0"/>
              <w:jc w:val="start"/>
            </w:pPr>
            <w:r/>
            <w:r>
              <w:rPr>
                <w:sz w:val="18"/>
              </w:rPr>
              <w:t>10.14619/1839</w:t>
            </w:r>
          </w:p>
        </w:tc>
        <w:tc>
          <w:tcPr>
            <w:tcW w:type="dxa" w:w="1152"/>
            <w:shd w:val="clear" w:color="auto" w:fill="FFF5EB"/>
          </w:tcPr>
          <w:p>
            <w:pPr>
              <w:bidi/>
              <w:jc w:val="start"/>
            </w:pPr>
            <w:r>
              <w:rPr>
                <w:rtl/>
              </w:rPr>
            </w:r>
            <w:r>
              <w:rPr>
                <w:sz w:val="18"/>
                <w:rtl/>
              </w:rPr>
              <w:t>לא</w:t>
            </w:r>
          </w:p>
        </w:tc>
        <w:tc>
          <w:tcPr>
            <w:tcW w:type="dxa" w:w="1440"/>
            <w:shd w:val="clear" w:color="auto" w:fill="FFF5EB"/>
          </w:tcPr>
          <w:p>
            <w:pPr>
              <w:bidi/>
              <w:jc w:val="start"/>
            </w:pPr>
            <w:r>
              <w:rPr>
                <w:rtl/>
              </w:rPr>
            </w:r>
            <w:r>
              <w:rPr>
                <w:sz w:val="18"/>
                <w:rtl/>
              </w:rPr>
              <w:t>לא</w:t>
            </w:r>
          </w:p>
        </w:tc>
        <w:tc>
          <w:tcPr>
            <w:tcW w:type="dxa" w:w="1296"/>
            <w:shd w:val="clear" w:color="auto" w:fill="FFF5EB"/>
          </w:tcPr>
          <w:p>
            <w:pPr>
              <w:bidi/>
              <w:jc w:val="start"/>
            </w:pPr>
            <w:r>
              <w:rPr>
                <w:rtl/>
              </w:rPr>
            </w:r>
            <w:r>
              <w:rPr>
                <w:sz w:val="18"/>
                <w:rtl/>
              </w:rPr>
              <w:t>לא הוערך</w:t>
            </w:r>
          </w:p>
        </w:tc>
      </w:tr>
      <w:tr>
        <w:trPr>
          <w:cantSplit/>
        </w:trPr>
        <w:tc>
          <w:tcPr>
            <w:tcW w:type="dxa" w:w="720"/>
          </w:tcPr>
          <w:p>
            <w:pPr>
              <w:bidi w:val="0"/>
              <w:jc w:val="start"/>
            </w:pPr>
            <w:r/>
            <w:r>
              <w:rPr>
                <w:sz w:val="18"/>
              </w:rPr>
              <w:t>S7</w:t>
            </w:r>
          </w:p>
        </w:tc>
        <w:tc>
          <w:tcPr>
            <w:tcW w:type="dxa" w:w="4032"/>
          </w:tcPr>
          <w:p>
            <w:pPr>
              <w:bidi w:val="0"/>
              <w:jc w:val="start"/>
            </w:pPr>
            <w:r/>
            <w:r>
              <w:rPr>
                <w:sz w:val="18"/>
              </w:rPr>
              <w:t>Israel, M. J., &amp; Amer, A. (2022). Rethinking data infrastructure and its ethical implications in the face of automated digital content generation. AI and Ethics. https://doi.org/10.1007/s43681-022-00169-1</w:t>
            </w:r>
          </w:p>
        </w:tc>
        <w:tc>
          <w:tcPr>
            <w:tcW w:type="dxa" w:w="1872"/>
          </w:tcPr>
          <w:p>
            <w:pPr>
              <w:bidi w:val="0"/>
              <w:jc w:val="start"/>
            </w:pPr>
            <w:r/>
            <w:r>
              <w:rPr>
                <w:sz w:val="18"/>
              </w:rPr>
              <w:t>10.1007/s43681-022-00169-1</w:t>
            </w:r>
          </w:p>
        </w:tc>
        <w:tc>
          <w:tcPr>
            <w:tcW w:type="dxa" w:w="1152"/>
          </w:tcPr>
          <w:p>
            <w:pPr>
              <w:bidi/>
              <w:jc w:val="start"/>
            </w:pPr>
            <w:r>
              <w:rPr>
                <w:rtl/>
              </w:rPr>
            </w:r>
            <w:r>
              <w:rPr>
                <w:sz w:val="18"/>
                <w:rtl/>
              </w:rPr>
              <w:t>כן</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r>
        <w:trPr>
          <w:cantSplit/>
        </w:trPr>
        <w:tc>
          <w:tcPr>
            <w:tcW w:type="dxa" w:w="720"/>
            <w:shd w:val="clear" w:color="auto" w:fill="FFF5EB"/>
          </w:tcPr>
          <w:p>
            <w:pPr>
              <w:bidi w:val="0"/>
              <w:jc w:val="start"/>
            </w:pPr>
            <w:r/>
            <w:r>
              <w:rPr>
                <w:sz w:val="18"/>
              </w:rPr>
              <w:t>S8</w:t>
            </w:r>
          </w:p>
        </w:tc>
        <w:tc>
          <w:tcPr>
            <w:tcW w:type="dxa" w:w="4032"/>
            <w:shd w:val="clear" w:color="auto" w:fill="FFF5EB"/>
          </w:tcPr>
          <w:p>
            <w:pPr>
              <w:bidi w:val="0"/>
              <w:jc w:val="start"/>
            </w:pPr>
            <w:r/>
            <w:r>
              <w:rPr>
                <w:sz w:val="18"/>
              </w:rPr>
              <w:t>Birkstedt, T., Minkkinen, M., Tandon, A., &amp; Mäntymäki, M. (2023). AI governance: themes, knowledge gaps and future agendas. Internet Research. https://doi.org/10.1108/intr-01-2022-0042</w:t>
            </w:r>
          </w:p>
        </w:tc>
        <w:tc>
          <w:tcPr>
            <w:tcW w:type="dxa" w:w="1872"/>
            <w:shd w:val="clear" w:color="auto" w:fill="FFF5EB"/>
          </w:tcPr>
          <w:p>
            <w:pPr>
              <w:bidi w:val="0"/>
              <w:jc w:val="start"/>
            </w:pPr>
            <w:r/>
            <w:r>
              <w:rPr>
                <w:sz w:val="18"/>
              </w:rPr>
              <w:t>10.1108/intr-01-2022-0042</w:t>
            </w:r>
          </w:p>
        </w:tc>
        <w:tc>
          <w:tcPr>
            <w:tcW w:type="dxa" w:w="1152"/>
            <w:shd w:val="clear" w:color="auto" w:fill="FFF5EB"/>
          </w:tcPr>
          <w:p>
            <w:pPr>
              <w:bidi/>
              <w:jc w:val="start"/>
            </w:pPr>
            <w:r>
              <w:rPr>
                <w:rtl/>
              </w:rPr>
            </w:r>
            <w:r>
              <w:rPr>
                <w:sz w:val="18"/>
                <w:rtl/>
              </w:rPr>
              <w:t>כן</w:t>
            </w:r>
          </w:p>
        </w:tc>
        <w:tc>
          <w:tcPr>
            <w:tcW w:type="dxa" w:w="1440"/>
            <w:shd w:val="clear" w:color="auto" w:fill="FFF5EB"/>
          </w:tcPr>
          <w:p>
            <w:pPr>
              <w:bidi/>
              <w:jc w:val="start"/>
            </w:pPr>
            <w:r>
              <w:rPr>
                <w:rtl/>
              </w:rPr>
            </w:r>
            <w:r>
              <w:rPr>
                <w:sz w:val="18"/>
                <w:rtl/>
              </w:rPr>
              <w:t>לא</w:t>
            </w:r>
          </w:p>
        </w:tc>
        <w:tc>
          <w:tcPr>
            <w:tcW w:type="dxa" w:w="1296"/>
            <w:shd w:val="clear" w:color="auto" w:fill="FFF5EB"/>
          </w:tcPr>
          <w:p>
            <w:pPr>
              <w:bidi/>
              <w:jc w:val="start"/>
            </w:pPr>
            <w:r>
              <w:rPr>
                <w:rtl/>
              </w:rPr>
            </w:r>
            <w:r>
              <w:rPr>
                <w:sz w:val="18"/>
                <w:rtl/>
              </w:rPr>
              <w:t>לא הוערך</w:t>
            </w:r>
          </w:p>
        </w:tc>
      </w:tr>
      <w:tr>
        <w:trPr>
          <w:cantSplit/>
        </w:trPr>
        <w:tc>
          <w:tcPr>
            <w:tcW w:type="dxa" w:w="720"/>
          </w:tcPr>
          <w:p>
            <w:pPr>
              <w:bidi w:val="0"/>
              <w:jc w:val="start"/>
            </w:pPr>
            <w:r/>
            <w:r>
              <w:rPr>
                <w:sz w:val="18"/>
              </w:rPr>
              <w:t>S9</w:t>
            </w:r>
          </w:p>
        </w:tc>
        <w:tc>
          <w:tcPr>
            <w:tcW w:type="dxa" w:w="4032"/>
          </w:tcPr>
          <w:p>
            <w:pPr>
              <w:bidi w:val="0"/>
              <w:jc w:val="start"/>
            </w:pPr>
            <w:r/>
            <w:r>
              <w:rPr>
                <w:sz w:val="18"/>
              </w:rPr>
              <w:t>Fenwick, M., &amp; Jurcys, P. (2023). Originality and the future of copyright in an age of generative AI. Computer Law &amp;amp; Security Review. https://doi.org/10.1016/j.clsr.2023.105892</w:t>
            </w:r>
          </w:p>
        </w:tc>
        <w:tc>
          <w:tcPr>
            <w:tcW w:type="dxa" w:w="1872"/>
          </w:tcPr>
          <w:p>
            <w:pPr>
              <w:bidi w:val="0"/>
              <w:jc w:val="start"/>
            </w:pPr>
            <w:r/>
            <w:r>
              <w:rPr>
                <w:sz w:val="18"/>
              </w:rPr>
              <w:t>10.1016/j.clsr.2023.105892</w:t>
            </w:r>
          </w:p>
        </w:tc>
        <w:tc>
          <w:tcPr>
            <w:tcW w:type="dxa" w:w="1152"/>
          </w:tcPr>
          <w:p>
            <w:pPr>
              <w:bidi/>
              <w:jc w:val="start"/>
            </w:pPr>
            <w:r>
              <w:rPr>
                <w:rtl/>
              </w:rPr>
            </w:r>
            <w:r>
              <w:rPr>
                <w:sz w:val="18"/>
                <w:rtl/>
              </w:rPr>
              <w:t>כן</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r>
        <w:trPr>
          <w:cantSplit/>
        </w:trPr>
        <w:tc>
          <w:tcPr>
            <w:tcW w:type="dxa" w:w="720"/>
            <w:shd w:val="clear" w:color="auto" w:fill="FFF5EB"/>
          </w:tcPr>
          <w:p>
            <w:pPr>
              <w:bidi w:val="0"/>
              <w:jc w:val="start"/>
            </w:pPr>
            <w:r/>
            <w:r>
              <w:rPr>
                <w:sz w:val="18"/>
              </w:rPr>
              <w:t>S10</w:t>
            </w:r>
          </w:p>
        </w:tc>
        <w:tc>
          <w:tcPr>
            <w:tcW w:type="dxa" w:w="4032"/>
            <w:shd w:val="clear" w:color="auto" w:fill="FFF5EB"/>
          </w:tcPr>
          <w:p>
            <w:pPr>
              <w:bidi w:val="0"/>
              <w:jc w:val="start"/>
            </w:pPr>
            <w:r/>
            <w:r>
              <w:rPr>
                <w:sz w:val="18"/>
              </w:rPr>
              <w:t>Bajohr, H. (2024). Writing at a Distance: Notes on Authorship and Artificial Intelligence. German Studies Review. https://doi.org/10.1353/gsr.2024.a927862</w:t>
            </w:r>
          </w:p>
        </w:tc>
        <w:tc>
          <w:tcPr>
            <w:tcW w:type="dxa" w:w="1872"/>
            <w:shd w:val="clear" w:color="auto" w:fill="FFF5EB"/>
          </w:tcPr>
          <w:p>
            <w:pPr>
              <w:bidi w:val="0"/>
              <w:jc w:val="start"/>
            </w:pPr>
            <w:r/>
            <w:r>
              <w:rPr>
                <w:sz w:val="18"/>
              </w:rPr>
              <w:t>10.1353/gsr.2024.a927862</w:t>
            </w:r>
          </w:p>
        </w:tc>
        <w:tc>
          <w:tcPr>
            <w:tcW w:type="dxa" w:w="1152"/>
            <w:shd w:val="clear" w:color="auto" w:fill="FFF5EB"/>
          </w:tcPr>
          <w:p>
            <w:pPr>
              <w:bidi/>
              <w:jc w:val="start"/>
            </w:pPr>
            <w:r>
              <w:rPr>
                <w:rtl/>
              </w:rPr>
            </w:r>
            <w:r>
              <w:rPr>
                <w:sz w:val="18"/>
                <w:rtl/>
              </w:rPr>
              <w:t>כן</w:t>
            </w:r>
          </w:p>
        </w:tc>
        <w:tc>
          <w:tcPr>
            <w:tcW w:type="dxa" w:w="1440"/>
            <w:shd w:val="clear" w:color="auto" w:fill="FFF5EB"/>
          </w:tcPr>
          <w:p>
            <w:pPr>
              <w:bidi/>
              <w:jc w:val="start"/>
            </w:pPr>
            <w:r>
              <w:rPr>
                <w:rtl/>
              </w:rPr>
            </w:r>
            <w:r>
              <w:rPr>
                <w:sz w:val="18"/>
                <w:rtl/>
              </w:rPr>
              <w:t>לא</w:t>
            </w:r>
          </w:p>
        </w:tc>
        <w:tc>
          <w:tcPr>
            <w:tcW w:type="dxa" w:w="1296"/>
            <w:shd w:val="clear" w:color="auto" w:fill="FFF5EB"/>
          </w:tcPr>
          <w:p>
            <w:pPr>
              <w:bidi/>
              <w:jc w:val="start"/>
            </w:pPr>
            <w:r>
              <w:rPr>
                <w:rtl/>
              </w:rPr>
            </w:r>
            <w:r>
              <w:rPr>
                <w:sz w:val="18"/>
                <w:rtl/>
              </w:rPr>
              <w:t>לא הוערך</w:t>
            </w:r>
          </w:p>
        </w:tc>
      </w:tr>
      <w:tr>
        <w:trPr>
          <w:cantSplit/>
        </w:trPr>
        <w:tc>
          <w:tcPr>
            <w:tcW w:type="dxa" w:w="720"/>
          </w:tcPr>
          <w:p>
            <w:pPr>
              <w:bidi w:val="0"/>
              <w:jc w:val="start"/>
            </w:pPr>
            <w:r/>
            <w:r>
              <w:rPr>
                <w:sz w:val="18"/>
              </w:rPr>
              <w:t>S11</w:t>
            </w:r>
          </w:p>
        </w:tc>
        <w:tc>
          <w:tcPr>
            <w:tcW w:type="dxa" w:w="4032"/>
          </w:tcPr>
          <w:p>
            <w:pPr>
              <w:bidi w:val="0"/>
              <w:jc w:val="start"/>
            </w:pPr>
            <w:r/>
            <w:r>
              <w:rPr>
                <w:sz w:val="18"/>
              </w:rPr>
              <w:t>Knöchelmann, M. (2023). Authorship and Publishing in the Humanities. Cambridge University Press eBooks. https://doi.org/10.1017/9781009223089</w:t>
            </w:r>
          </w:p>
        </w:tc>
        <w:tc>
          <w:tcPr>
            <w:tcW w:type="dxa" w:w="1872"/>
          </w:tcPr>
          <w:p>
            <w:pPr>
              <w:bidi w:val="0"/>
              <w:jc w:val="start"/>
            </w:pPr>
            <w:r/>
            <w:r>
              <w:rPr>
                <w:sz w:val="18"/>
              </w:rPr>
              <w:t>10.1017/9781009223089</w:t>
            </w:r>
          </w:p>
        </w:tc>
        <w:tc>
          <w:tcPr>
            <w:tcW w:type="dxa" w:w="1152"/>
          </w:tcPr>
          <w:p>
            <w:pPr>
              <w:bidi/>
              <w:jc w:val="start"/>
            </w:pPr>
            <w:r>
              <w:rPr>
                <w:rtl/>
              </w:rPr>
            </w:r>
            <w:r>
              <w:rPr>
                <w:sz w:val="18"/>
                <w:rtl/>
              </w:rPr>
              <w:t>כן</w:t>
            </w:r>
          </w:p>
        </w:tc>
        <w:tc>
          <w:tcPr>
            <w:tcW w:type="dxa" w:w="1440"/>
          </w:tcPr>
          <w:p>
            <w:pPr>
              <w:bidi/>
              <w:jc w:val="start"/>
            </w:pPr>
            <w:r>
              <w:rPr>
                <w:rtl/>
              </w:rPr>
            </w:r>
            <w:r>
              <w:rPr>
                <w:sz w:val="18"/>
                <w:rtl/>
              </w:rPr>
              <w:t>לא</w:t>
            </w:r>
          </w:p>
        </w:tc>
        <w:tc>
          <w:tcPr>
            <w:tcW w:type="dxa" w:w="1296"/>
          </w:tcPr>
          <w:p>
            <w:pPr>
              <w:bidi/>
              <w:jc w:val="start"/>
            </w:pPr>
            <w:r>
              <w:rPr>
                <w:rtl/>
              </w:rPr>
            </w:r>
            <w:r>
              <w:rPr>
                <w:sz w:val="18"/>
                <w:rtl/>
              </w:rPr>
              <w:t>לא הוערך</w:t>
            </w:r>
          </w:p>
        </w:tc>
      </w:tr>
    </w:tbl>
    <w:p>
      <w:pPr>
        <w:bidi/>
        <w:jc w:val="start"/>
      </w:pPr>
    </w:p>
    <w:p>
      <w:pPr>
        <w:pStyle w:val="Heading1"/>
        <w:pBdr>
          <w:bottom w:val="single" w:sz="18" w:space="4" w:color="E06D00"/>
        </w:pBdr>
        <w:bidi/>
        <w:jc w:val="start"/>
      </w:pPr>
      <w:r>
        <w:rPr>
          <w:rtl/>
        </w:rPr>
        <w:t>ביקורת מקורות וציטוטים</w:t>
      </w:r>
    </w:p>
    <w:p>
      <w:pPr>
        <w:bidi/>
        <w:jc w:val="start"/>
      </w:pPr>
      <w:r>
        <w:rPr>
          <w:rFonts w:ascii="Times New Roman" w:hAnsi="Times New Roman" w:cs="Times New Roman"/>
          <w:b w:val="0"/>
          <w:color w:val="6B7280"/>
          <w:sz w:val="20"/>
          <w:rtl/>
        </w:rPr>
        <w:t>מה בדקנו באופן אוטומטי. אלה שלושה דברים שונים, ואנו מפרידים ביניהם: האם המקור קיים (אימות), האם הצלחנו לחלץ את תוכנו (ראיות), והאם הוא תומך בטענה הספציפית שלשמה הוא מצוטט (תמיכה בטענה).</w:t>
      </w:r>
    </w:p>
    <w:p>
      <w:pPr>
        <w:bidi/>
        <w:jc w:val="start"/>
      </w:pPr>
      <w:r>
        <w:rPr>
          <w:rFonts w:ascii="Times New Roman" w:hAnsi="Times New Roman" w:cs="Times New Roman"/>
          <w:b/>
          <w:sz w:val="22"/>
          <w:rtl/>
        </w:rPr>
        <w:t>‏9‏/‏11‏ אומתו · עבור ‏0‏/‏11‏ חולצו ראיות · ‏0‏/‏0‏ טענות שהוערכו נתמכות ישירות</w:t>
      </w:r>
    </w:p>
    <w:p>
      <w:pPr>
        <w:bidi/>
        <w:jc w:val="start"/>
      </w:pPr>
      <w:r>
        <w:rPr>
          <w:rFonts w:ascii="Times New Roman" w:hAnsi="Times New Roman" w:cs="Times New Roman"/>
          <w:b w:val="0"/>
          <w:color w:val="6B7280"/>
          <w:sz w:val="18"/>
          <w:rtl/>
        </w:rPr>
        <w:t>אימות באמצעות ‏Crossref‏ מאשר שמקור קיים — הוא אינו מאשר שהמקור תומך במשפט שלשמו הוא מצוטט. יש לבדוק בעצמך כל ציטוט בגוף הטקסט לפני ההגשה.</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440"/>
        <w:gridCol w:w="1440"/>
        <w:gridCol w:w="1440"/>
        <w:gridCol w:w="1440"/>
        <w:gridCol w:w="1440"/>
        <w:gridCol w:w="1440"/>
      </w:tblGrid>
      <w:tr>
        <w:trPr>
          <w:tblHeader/>
          <w:cantSplit/>
        </w:trPr>
        <w:tc>
          <w:tcPr>
            <w:tcW w:type="dxa" w:w="720"/>
            <w:shd w:val="clear" w:color="auto" w:fill="FF7A00"/>
          </w:tcPr>
          <w:p>
            <w:pPr>
              <w:bidi/>
              <w:jc w:val="start"/>
            </w:pPr>
            <w:r>
              <w:rPr>
                <w:rtl/>
              </w:rPr>
            </w:r>
            <w:r>
              <w:rPr>
                <w:b/>
                <w:color w:val="FFFFFF"/>
                <w:sz w:val="18"/>
                <w:rtl/>
              </w:rPr>
              <w:t>מזהה</w:t>
            </w:r>
          </w:p>
        </w:tc>
        <w:tc>
          <w:tcPr>
            <w:tcW w:type="dxa" w:w="1584"/>
            <w:shd w:val="clear" w:color="auto" w:fill="FF7A00"/>
          </w:tcPr>
          <w:p>
            <w:pPr>
              <w:bidi/>
              <w:jc w:val="start"/>
            </w:pPr>
            <w:r>
              <w:rPr>
                <w:rtl/>
              </w:rPr>
            </w:r>
            <w:r>
              <w:rPr>
                <w:b/>
                <w:color w:val="FFFFFF"/>
                <w:sz w:val="18"/>
                <w:rtl/>
              </w:rPr>
              <w:t>סטטוס</w:t>
            </w:r>
          </w:p>
        </w:tc>
        <w:tc>
          <w:tcPr>
            <w:tcW w:type="dxa" w:w="1440"/>
            <w:shd w:val="clear" w:color="auto" w:fill="FF7A00"/>
          </w:tcPr>
          <w:p>
            <w:pPr>
              <w:bidi/>
              <w:jc w:val="start"/>
            </w:pPr>
            <w:r>
              <w:rPr>
                <w:rtl/>
              </w:rPr>
            </w:r>
            <w:r>
              <w:rPr>
                <w:b/>
                <w:color w:val="FFFFFF"/>
                <w:sz w:val="18"/>
                <w:rtl/>
              </w:rPr>
              <w:t>‏DOI‏ אומת</w:t>
            </w:r>
          </w:p>
        </w:tc>
        <w:tc>
          <w:tcPr>
            <w:tcW w:type="dxa" w:w="1872"/>
            <w:shd w:val="clear" w:color="auto" w:fill="FF7A00"/>
          </w:tcPr>
          <w:p>
            <w:pPr>
              <w:bidi/>
              <w:jc w:val="start"/>
            </w:pPr>
            <w:r>
              <w:rPr>
                <w:rtl/>
              </w:rPr>
            </w:r>
            <w:r>
              <w:rPr>
                <w:b/>
                <w:color w:val="FFFFFF"/>
                <w:sz w:val="18"/>
                <w:rtl/>
              </w:rPr>
              <w:t>תמיכה בטענה</w:t>
            </w:r>
          </w:p>
        </w:tc>
        <w:tc>
          <w:tcPr>
            <w:tcW w:type="dxa" w:w="1440"/>
            <w:shd w:val="clear" w:color="auto" w:fill="FF7A00"/>
          </w:tcPr>
          <w:p>
            <w:pPr>
              <w:bidi/>
              <w:jc w:val="start"/>
            </w:pPr>
            <w:r>
              <w:rPr>
                <w:rtl/>
              </w:rPr>
            </w:r>
            <w:r>
              <w:rPr>
                <w:b/>
                <w:color w:val="FFFFFF"/>
                <w:sz w:val="18"/>
                <w:rtl/>
              </w:rPr>
              <w:t>רמת ביטחון</w:t>
            </w:r>
          </w:p>
        </w:tc>
        <w:tc>
          <w:tcPr>
            <w:tcW w:type="dxa" w:w="2592"/>
            <w:shd w:val="clear" w:color="auto" w:fill="FF7A00"/>
          </w:tcPr>
          <w:p>
            <w:pPr>
              <w:bidi/>
              <w:jc w:val="start"/>
            </w:pPr>
            <w:r>
              <w:rPr>
                <w:rtl/>
              </w:rPr>
            </w:r>
            <w:r>
              <w:rPr>
                <w:b/>
                <w:color w:val="FFFFFF"/>
                <w:sz w:val="18"/>
                <w:rtl/>
              </w:rPr>
              <w:t>פעולה</w:t>
            </w:r>
          </w:p>
        </w:tc>
      </w:tr>
      <w:tr>
        <w:trPr>
          <w:cantSplit/>
        </w:trPr>
        <w:tc>
          <w:tcPr>
            <w:tcW w:type="dxa" w:w="720"/>
          </w:tcPr>
          <w:p>
            <w:pPr>
              <w:bidi w:val="0"/>
              <w:jc w:val="start"/>
            </w:pPr>
            <w:r/>
            <w:r>
              <w:rPr>
                <w:sz w:val="18"/>
              </w:rPr>
              <w:t>S1</w:t>
            </w:r>
          </w:p>
        </w:tc>
        <w:tc>
          <w:tcPr>
            <w:tcW w:type="dxa" w:w="1584"/>
          </w:tcPr>
          <w:p>
            <w:pPr>
              <w:bidi/>
              <w:jc w:val="start"/>
            </w:pPr>
            <w:r>
              <w:rPr>
                <w:rtl/>
              </w:rPr>
            </w:r>
            <w:r>
              <w:rPr>
                <w:sz w:val="18"/>
                <w:rtl/>
              </w:rPr>
              <w:t>לא 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להחליף / למצוא מקור חזק יותר</w:t>
            </w:r>
          </w:p>
        </w:tc>
      </w:tr>
      <w:tr>
        <w:trPr>
          <w:cantSplit/>
        </w:trPr>
        <w:tc>
          <w:tcPr>
            <w:tcW w:type="dxa" w:w="720"/>
            <w:shd w:val="clear" w:color="auto" w:fill="FFF5EB"/>
          </w:tcPr>
          <w:p>
            <w:pPr>
              <w:bidi w:val="0"/>
              <w:jc w:val="start"/>
            </w:pPr>
            <w:r/>
            <w:r>
              <w:rPr>
                <w:sz w:val="18"/>
              </w:rPr>
              <w:t>S2</w:t>
            </w:r>
          </w:p>
        </w:tc>
        <w:tc>
          <w:tcPr>
            <w:tcW w:type="dxa" w:w="1584"/>
            <w:shd w:val="clear" w:color="auto" w:fill="FFF5EB"/>
          </w:tcPr>
          <w:p>
            <w:pPr>
              <w:bidi/>
              <w:jc w:val="start"/>
            </w:pPr>
            <w:r>
              <w:rPr>
                <w:rtl/>
              </w:rPr>
            </w:r>
            <w:r>
              <w:rPr>
                <w:sz w:val="18"/>
                <w:rtl/>
              </w:rPr>
              <w:t>אומת</w:t>
            </w:r>
          </w:p>
        </w:tc>
        <w:tc>
          <w:tcPr>
            <w:tcW w:type="dxa" w:w="1440"/>
            <w:shd w:val="clear" w:color="auto" w:fill="FFF5EB"/>
          </w:tcPr>
          <w:p>
            <w:pPr>
              <w:bidi/>
              <w:jc w:val="start"/>
            </w:pPr>
            <w:r>
              <w:rPr>
                <w:rtl/>
              </w:rPr>
            </w:r>
            <w:r>
              <w:rPr>
                <w:sz w:val="18"/>
                <w:rtl/>
              </w:rPr>
              <w:t>כן</w:t>
            </w:r>
          </w:p>
        </w:tc>
        <w:tc>
          <w:tcPr>
            <w:tcW w:type="dxa" w:w="1872"/>
            <w:shd w:val="clear" w:color="auto" w:fill="FFF5EB"/>
          </w:tcPr>
          <w:p>
            <w:pPr>
              <w:bidi/>
              <w:jc w:val="start"/>
            </w:pPr>
            <w:r>
              <w:rPr>
                <w:rtl/>
              </w:rPr>
            </w:r>
            <w:r>
              <w:rPr>
                <w:sz w:val="18"/>
                <w:rtl/>
              </w:rPr>
              <w:t>לא הוערך</w:t>
            </w:r>
          </w:p>
        </w:tc>
        <w:tc>
          <w:tcPr>
            <w:tcW w:type="dxa" w:w="1440"/>
            <w:shd w:val="clear" w:color="auto" w:fill="FFF5EB"/>
          </w:tcPr>
          <w:p>
            <w:pPr>
              <w:bidi w:val="0"/>
              <w:jc w:val="start"/>
            </w:pPr>
            <w:r/>
            <w:r>
              <w:rPr>
                <w:sz w:val="18"/>
              </w:rPr>
              <w:t>—</w:t>
            </w:r>
          </w:p>
        </w:tc>
        <w:tc>
          <w:tcPr>
            <w:tcW w:type="dxa" w:w="2592"/>
            <w:shd w:val="clear" w:color="auto" w:fill="FFF5EB"/>
          </w:tcPr>
          <w:p>
            <w:pPr>
              <w:bidi/>
              <w:jc w:val="start"/>
            </w:pPr>
            <w:r>
              <w:rPr>
                <w:rtl/>
              </w:rPr>
            </w:r>
            <w:r>
              <w:rPr>
                <w:sz w:val="18"/>
                <w:rtl/>
              </w:rPr>
              <w:t>לאמת ידנית</w:t>
            </w:r>
          </w:p>
        </w:tc>
      </w:tr>
      <w:tr>
        <w:trPr>
          <w:cantSplit/>
        </w:trPr>
        <w:tc>
          <w:tcPr>
            <w:tcW w:type="dxa" w:w="720"/>
          </w:tcPr>
          <w:p>
            <w:pPr>
              <w:bidi w:val="0"/>
              <w:jc w:val="start"/>
            </w:pPr>
            <w:r/>
            <w:r>
              <w:rPr>
                <w:sz w:val="18"/>
              </w:rPr>
              <w:t>S3</w:t>
            </w:r>
          </w:p>
        </w:tc>
        <w:tc>
          <w:tcPr>
            <w:tcW w:type="dxa" w:w="1584"/>
          </w:tcPr>
          <w:p>
            <w:pPr>
              <w:bidi/>
              <w:jc w:val="start"/>
            </w:pPr>
            <w:r>
              <w:rPr>
                <w:rtl/>
              </w:rPr>
            </w:r>
            <w:r>
              <w:rPr>
                <w:sz w:val="18"/>
                <w:rtl/>
              </w:rPr>
              <w:t>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לאמת ידנית</w:t>
            </w:r>
          </w:p>
        </w:tc>
      </w:tr>
      <w:tr>
        <w:trPr>
          <w:cantSplit/>
        </w:trPr>
        <w:tc>
          <w:tcPr>
            <w:tcW w:type="dxa" w:w="720"/>
            <w:shd w:val="clear" w:color="auto" w:fill="FFF5EB"/>
          </w:tcPr>
          <w:p>
            <w:pPr>
              <w:bidi w:val="0"/>
              <w:jc w:val="start"/>
            </w:pPr>
            <w:r/>
            <w:r>
              <w:rPr>
                <w:sz w:val="18"/>
              </w:rPr>
              <w:t>S4</w:t>
            </w:r>
          </w:p>
        </w:tc>
        <w:tc>
          <w:tcPr>
            <w:tcW w:type="dxa" w:w="1584"/>
            <w:shd w:val="clear" w:color="auto" w:fill="FFF5EB"/>
          </w:tcPr>
          <w:p>
            <w:pPr>
              <w:bidi/>
              <w:jc w:val="start"/>
            </w:pPr>
            <w:r>
              <w:rPr>
                <w:rtl/>
              </w:rPr>
            </w:r>
            <w:r>
              <w:rPr>
                <w:sz w:val="18"/>
                <w:rtl/>
              </w:rPr>
              <w:t>אומת</w:t>
            </w:r>
          </w:p>
        </w:tc>
        <w:tc>
          <w:tcPr>
            <w:tcW w:type="dxa" w:w="1440"/>
            <w:shd w:val="clear" w:color="auto" w:fill="FFF5EB"/>
          </w:tcPr>
          <w:p>
            <w:pPr>
              <w:bidi/>
              <w:jc w:val="start"/>
            </w:pPr>
            <w:r>
              <w:rPr>
                <w:rtl/>
              </w:rPr>
            </w:r>
            <w:r>
              <w:rPr>
                <w:sz w:val="18"/>
                <w:rtl/>
              </w:rPr>
              <w:t>כן</w:t>
            </w:r>
          </w:p>
        </w:tc>
        <w:tc>
          <w:tcPr>
            <w:tcW w:type="dxa" w:w="1872"/>
            <w:shd w:val="clear" w:color="auto" w:fill="FFF5EB"/>
          </w:tcPr>
          <w:p>
            <w:pPr>
              <w:bidi/>
              <w:jc w:val="start"/>
            </w:pPr>
            <w:r>
              <w:rPr>
                <w:rtl/>
              </w:rPr>
            </w:r>
            <w:r>
              <w:rPr>
                <w:sz w:val="18"/>
                <w:rtl/>
              </w:rPr>
              <w:t>לא הוערך</w:t>
            </w:r>
          </w:p>
        </w:tc>
        <w:tc>
          <w:tcPr>
            <w:tcW w:type="dxa" w:w="1440"/>
            <w:shd w:val="clear" w:color="auto" w:fill="FFF5EB"/>
          </w:tcPr>
          <w:p>
            <w:pPr>
              <w:bidi w:val="0"/>
              <w:jc w:val="start"/>
            </w:pPr>
            <w:r/>
            <w:r>
              <w:rPr>
                <w:sz w:val="18"/>
              </w:rPr>
              <w:t>—</w:t>
            </w:r>
          </w:p>
        </w:tc>
        <w:tc>
          <w:tcPr>
            <w:tcW w:type="dxa" w:w="2592"/>
            <w:shd w:val="clear" w:color="auto" w:fill="FFF5EB"/>
          </w:tcPr>
          <w:p>
            <w:pPr>
              <w:bidi/>
              <w:jc w:val="start"/>
            </w:pPr>
            <w:r>
              <w:rPr>
                <w:rtl/>
              </w:rPr>
            </w:r>
            <w:r>
              <w:rPr>
                <w:sz w:val="18"/>
                <w:rtl/>
              </w:rPr>
              <w:t>לאמת ידנית</w:t>
            </w:r>
          </w:p>
        </w:tc>
      </w:tr>
      <w:tr>
        <w:trPr>
          <w:cantSplit/>
        </w:trPr>
        <w:tc>
          <w:tcPr>
            <w:tcW w:type="dxa" w:w="720"/>
          </w:tcPr>
          <w:p>
            <w:pPr>
              <w:bidi w:val="0"/>
              <w:jc w:val="start"/>
            </w:pPr>
            <w:r/>
            <w:r>
              <w:rPr>
                <w:sz w:val="18"/>
              </w:rPr>
              <w:t>S5</w:t>
            </w:r>
          </w:p>
        </w:tc>
        <w:tc>
          <w:tcPr>
            <w:tcW w:type="dxa" w:w="1584"/>
          </w:tcPr>
          <w:p>
            <w:pPr>
              <w:bidi/>
              <w:jc w:val="start"/>
            </w:pPr>
            <w:r>
              <w:rPr>
                <w:rtl/>
              </w:rPr>
            </w:r>
            <w:r>
              <w:rPr>
                <w:sz w:val="18"/>
                <w:rtl/>
              </w:rPr>
              <w:t>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לאמת ידנית</w:t>
            </w:r>
          </w:p>
        </w:tc>
      </w:tr>
      <w:tr>
        <w:trPr>
          <w:cantSplit/>
        </w:trPr>
        <w:tc>
          <w:tcPr>
            <w:tcW w:type="dxa" w:w="720"/>
            <w:shd w:val="clear" w:color="auto" w:fill="FFF5EB"/>
          </w:tcPr>
          <w:p>
            <w:pPr>
              <w:bidi w:val="0"/>
              <w:jc w:val="start"/>
            </w:pPr>
            <w:r/>
            <w:r>
              <w:rPr>
                <w:sz w:val="18"/>
              </w:rPr>
              <w:t>S6</w:t>
            </w:r>
          </w:p>
        </w:tc>
        <w:tc>
          <w:tcPr>
            <w:tcW w:type="dxa" w:w="1584"/>
            <w:shd w:val="clear" w:color="auto" w:fill="FFF5EB"/>
          </w:tcPr>
          <w:p>
            <w:pPr>
              <w:bidi/>
              <w:jc w:val="start"/>
            </w:pPr>
            <w:r>
              <w:rPr>
                <w:rtl/>
              </w:rPr>
            </w:r>
            <w:r>
              <w:rPr>
                <w:sz w:val="18"/>
                <w:rtl/>
              </w:rPr>
              <w:t>אי־התאמה</w:t>
            </w:r>
          </w:p>
        </w:tc>
        <w:tc>
          <w:tcPr>
            <w:tcW w:type="dxa" w:w="1440"/>
            <w:shd w:val="clear" w:color="auto" w:fill="FFF5EB"/>
          </w:tcPr>
          <w:p>
            <w:pPr>
              <w:bidi/>
              <w:jc w:val="start"/>
            </w:pPr>
            <w:r>
              <w:rPr>
                <w:rtl/>
              </w:rPr>
            </w:r>
            <w:r>
              <w:rPr>
                <w:sz w:val="18"/>
                <w:rtl/>
              </w:rPr>
              <w:t>כן</w:t>
            </w:r>
          </w:p>
        </w:tc>
        <w:tc>
          <w:tcPr>
            <w:tcW w:type="dxa" w:w="1872"/>
            <w:shd w:val="clear" w:color="auto" w:fill="FFF5EB"/>
          </w:tcPr>
          <w:p>
            <w:pPr>
              <w:bidi/>
              <w:jc w:val="start"/>
            </w:pPr>
            <w:r>
              <w:rPr>
                <w:rtl/>
              </w:rPr>
            </w:r>
            <w:r>
              <w:rPr>
                <w:sz w:val="18"/>
                <w:rtl/>
              </w:rPr>
              <w:t>לא הוערך</w:t>
            </w:r>
          </w:p>
        </w:tc>
        <w:tc>
          <w:tcPr>
            <w:tcW w:type="dxa" w:w="1440"/>
            <w:shd w:val="clear" w:color="auto" w:fill="FFF5EB"/>
          </w:tcPr>
          <w:p>
            <w:pPr>
              <w:bidi w:val="0"/>
              <w:jc w:val="start"/>
            </w:pPr>
            <w:r/>
            <w:r>
              <w:rPr>
                <w:sz w:val="18"/>
              </w:rPr>
              <w:t>—</w:t>
            </w:r>
          </w:p>
        </w:tc>
        <w:tc>
          <w:tcPr>
            <w:tcW w:type="dxa" w:w="2592"/>
            <w:shd w:val="clear" w:color="auto" w:fill="FFF5EB"/>
          </w:tcPr>
          <w:p>
            <w:pPr>
              <w:bidi/>
              <w:jc w:val="start"/>
            </w:pPr>
            <w:r>
              <w:rPr>
                <w:rtl/>
              </w:rPr>
            </w:r>
            <w:r>
              <w:rPr>
                <w:sz w:val="18"/>
                <w:rtl/>
              </w:rPr>
              <w:t>לאמת ידנית</w:t>
            </w:r>
          </w:p>
        </w:tc>
      </w:tr>
      <w:tr>
        <w:trPr>
          <w:cantSplit/>
        </w:trPr>
        <w:tc>
          <w:tcPr>
            <w:tcW w:type="dxa" w:w="720"/>
          </w:tcPr>
          <w:p>
            <w:pPr>
              <w:bidi w:val="0"/>
              <w:jc w:val="start"/>
            </w:pPr>
            <w:r/>
            <w:r>
              <w:rPr>
                <w:sz w:val="18"/>
              </w:rPr>
              <w:t>S7</w:t>
            </w:r>
          </w:p>
        </w:tc>
        <w:tc>
          <w:tcPr>
            <w:tcW w:type="dxa" w:w="1584"/>
          </w:tcPr>
          <w:p>
            <w:pPr>
              <w:bidi/>
              <w:jc w:val="start"/>
            </w:pPr>
            <w:r>
              <w:rPr>
                <w:rtl/>
              </w:rPr>
            </w:r>
            <w:r>
              <w:rPr>
                <w:sz w:val="18"/>
                <w:rtl/>
              </w:rPr>
              <w:t>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לאמת ידנית</w:t>
            </w:r>
          </w:p>
        </w:tc>
      </w:tr>
      <w:tr>
        <w:trPr>
          <w:cantSplit/>
        </w:trPr>
        <w:tc>
          <w:tcPr>
            <w:tcW w:type="dxa" w:w="720"/>
            <w:shd w:val="clear" w:color="auto" w:fill="FFF5EB"/>
          </w:tcPr>
          <w:p>
            <w:pPr>
              <w:bidi w:val="0"/>
              <w:jc w:val="start"/>
            </w:pPr>
            <w:r/>
            <w:r>
              <w:rPr>
                <w:sz w:val="18"/>
              </w:rPr>
              <w:t>S8</w:t>
            </w:r>
          </w:p>
        </w:tc>
        <w:tc>
          <w:tcPr>
            <w:tcW w:type="dxa" w:w="1584"/>
            <w:shd w:val="clear" w:color="auto" w:fill="FFF5EB"/>
          </w:tcPr>
          <w:p>
            <w:pPr>
              <w:bidi/>
              <w:jc w:val="start"/>
            </w:pPr>
            <w:r>
              <w:rPr>
                <w:rtl/>
              </w:rPr>
            </w:r>
            <w:r>
              <w:rPr>
                <w:sz w:val="18"/>
                <w:rtl/>
              </w:rPr>
              <w:t>אומת</w:t>
            </w:r>
          </w:p>
        </w:tc>
        <w:tc>
          <w:tcPr>
            <w:tcW w:type="dxa" w:w="1440"/>
            <w:shd w:val="clear" w:color="auto" w:fill="FFF5EB"/>
          </w:tcPr>
          <w:p>
            <w:pPr>
              <w:bidi/>
              <w:jc w:val="start"/>
            </w:pPr>
            <w:r>
              <w:rPr>
                <w:rtl/>
              </w:rPr>
            </w:r>
            <w:r>
              <w:rPr>
                <w:sz w:val="18"/>
                <w:rtl/>
              </w:rPr>
              <w:t>כן</w:t>
            </w:r>
          </w:p>
        </w:tc>
        <w:tc>
          <w:tcPr>
            <w:tcW w:type="dxa" w:w="1872"/>
            <w:shd w:val="clear" w:color="auto" w:fill="FFF5EB"/>
          </w:tcPr>
          <w:p>
            <w:pPr>
              <w:bidi/>
              <w:jc w:val="start"/>
            </w:pPr>
            <w:r>
              <w:rPr>
                <w:rtl/>
              </w:rPr>
            </w:r>
            <w:r>
              <w:rPr>
                <w:sz w:val="18"/>
                <w:rtl/>
              </w:rPr>
              <w:t>לא הוערך</w:t>
            </w:r>
          </w:p>
        </w:tc>
        <w:tc>
          <w:tcPr>
            <w:tcW w:type="dxa" w:w="1440"/>
            <w:shd w:val="clear" w:color="auto" w:fill="FFF5EB"/>
          </w:tcPr>
          <w:p>
            <w:pPr>
              <w:bidi w:val="0"/>
              <w:jc w:val="start"/>
            </w:pPr>
            <w:r/>
            <w:r>
              <w:rPr>
                <w:sz w:val="18"/>
              </w:rPr>
              <w:t>—</w:t>
            </w:r>
          </w:p>
        </w:tc>
        <w:tc>
          <w:tcPr>
            <w:tcW w:type="dxa" w:w="2592"/>
            <w:shd w:val="clear" w:color="auto" w:fill="FFF5EB"/>
          </w:tcPr>
          <w:p>
            <w:pPr>
              <w:bidi/>
              <w:jc w:val="start"/>
            </w:pPr>
            <w:r>
              <w:rPr>
                <w:rtl/>
              </w:rPr>
            </w:r>
            <w:r>
              <w:rPr>
                <w:sz w:val="18"/>
                <w:rtl/>
              </w:rPr>
              <w:t>לאמת ידנית</w:t>
            </w:r>
          </w:p>
        </w:tc>
      </w:tr>
      <w:tr>
        <w:trPr>
          <w:cantSplit/>
        </w:trPr>
        <w:tc>
          <w:tcPr>
            <w:tcW w:type="dxa" w:w="720"/>
          </w:tcPr>
          <w:p>
            <w:pPr>
              <w:bidi w:val="0"/>
              <w:jc w:val="start"/>
            </w:pPr>
            <w:r/>
            <w:r>
              <w:rPr>
                <w:sz w:val="18"/>
              </w:rPr>
              <w:t>S9</w:t>
            </w:r>
          </w:p>
        </w:tc>
        <w:tc>
          <w:tcPr>
            <w:tcW w:type="dxa" w:w="1584"/>
          </w:tcPr>
          <w:p>
            <w:pPr>
              <w:bidi/>
              <w:jc w:val="start"/>
            </w:pPr>
            <w:r>
              <w:rPr>
                <w:rtl/>
              </w:rPr>
            </w:r>
            <w:r>
              <w:rPr>
                <w:sz w:val="18"/>
                <w:rtl/>
              </w:rPr>
              <w:t>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לאמת ידנית</w:t>
            </w:r>
          </w:p>
        </w:tc>
      </w:tr>
      <w:tr>
        <w:trPr>
          <w:cantSplit/>
        </w:trPr>
        <w:tc>
          <w:tcPr>
            <w:tcW w:type="dxa" w:w="720"/>
            <w:shd w:val="clear" w:color="auto" w:fill="FFF5EB"/>
          </w:tcPr>
          <w:p>
            <w:pPr>
              <w:bidi w:val="0"/>
              <w:jc w:val="start"/>
            </w:pPr>
            <w:r/>
            <w:r>
              <w:rPr>
                <w:sz w:val="18"/>
              </w:rPr>
              <w:t>S10</w:t>
            </w:r>
          </w:p>
        </w:tc>
        <w:tc>
          <w:tcPr>
            <w:tcW w:type="dxa" w:w="1584"/>
            <w:shd w:val="clear" w:color="auto" w:fill="FFF5EB"/>
          </w:tcPr>
          <w:p>
            <w:pPr>
              <w:bidi/>
              <w:jc w:val="start"/>
            </w:pPr>
            <w:r>
              <w:rPr>
                <w:rtl/>
              </w:rPr>
            </w:r>
            <w:r>
              <w:rPr>
                <w:sz w:val="18"/>
                <w:rtl/>
              </w:rPr>
              <w:t>אומת</w:t>
            </w:r>
          </w:p>
        </w:tc>
        <w:tc>
          <w:tcPr>
            <w:tcW w:type="dxa" w:w="1440"/>
            <w:shd w:val="clear" w:color="auto" w:fill="FFF5EB"/>
          </w:tcPr>
          <w:p>
            <w:pPr>
              <w:bidi/>
              <w:jc w:val="start"/>
            </w:pPr>
            <w:r>
              <w:rPr>
                <w:rtl/>
              </w:rPr>
            </w:r>
            <w:r>
              <w:rPr>
                <w:sz w:val="18"/>
                <w:rtl/>
              </w:rPr>
              <w:t>כן</w:t>
            </w:r>
          </w:p>
        </w:tc>
        <w:tc>
          <w:tcPr>
            <w:tcW w:type="dxa" w:w="1872"/>
            <w:shd w:val="clear" w:color="auto" w:fill="FFF5EB"/>
          </w:tcPr>
          <w:p>
            <w:pPr>
              <w:bidi/>
              <w:jc w:val="start"/>
            </w:pPr>
            <w:r>
              <w:rPr>
                <w:rtl/>
              </w:rPr>
            </w:r>
            <w:r>
              <w:rPr>
                <w:sz w:val="18"/>
                <w:rtl/>
              </w:rPr>
              <w:t>לא הוערך</w:t>
            </w:r>
          </w:p>
        </w:tc>
        <w:tc>
          <w:tcPr>
            <w:tcW w:type="dxa" w:w="1440"/>
            <w:shd w:val="clear" w:color="auto" w:fill="FFF5EB"/>
          </w:tcPr>
          <w:p>
            <w:pPr>
              <w:bidi w:val="0"/>
              <w:jc w:val="start"/>
            </w:pPr>
            <w:r/>
            <w:r>
              <w:rPr>
                <w:sz w:val="18"/>
              </w:rPr>
              <w:t>—</w:t>
            </w:r>
          </w:p>
        </w:tc>
        <w:tc>
          <w:tcPr>
            <w:tcW w:type="dxa" w:w="2592"/>
            <w:shd w:val="clear" w:color="auto" w:fill="FFF5EB"/>
          </w:tcPr>
          <w:p>
            <w:pPr>
              <w:bidi/>
              <w:jc w:val="start"/>
            </w:pPr>
            <w:r>
              <w:rPr>
                <w:rtl/>
              </w:rPr>
            </w:r>
            <w:r>
              <w:rPr>
                <w:sz w:val="18"/>
                <w:rtl/>
              </w:rPr>
              <w:t>לאמת ידנית</w:t>
            </w:r>
          </w:p>
        </w:tc>
      </w:tr>
      <w:tr>
        <w:trPr>
          <w:cantSplit/>
        </w:trPr>
        <w:tc>
          <w:tcPr>
            <w:tcW w:type="dxa" w:w="720"/>
          </w:tcPr>
          <w:p>
            <w:pPr>
              <w:bidi w:val="0"/>
              <w:jc w:val="start"/>
            </w:pPr>
            <w:r/>
            <w:r>
              <w:rPr>
                <w:sz w:val="18"/>
              </w:rPr>
              <w:t>S11</w:t>
            </w:r>
          </w:p>
        </w:tc>
        <w:tc>
          <w:tcPr>
            <w:tcW w:type="dxa" w:w="1584"/>
          </w:tcPr>
          <w:p>
            <w:pPr>
              <w:bidi/>
              <w:jc w:val="start"/>
            </w:pPr>
            <w:r>
              <w:rPr>
                <w:rtl/>
              </w:rPr>
            </w:r>
            <w:r>
              <w:rPr>
                <w:sz w:val="18"/>
                <w:rtl/>
              </w:rPr>
              <w:t>אומת</w:t>
            </w:r>
          </w:p>
        </w:tc>
        <w:tc>
          <w:tcPr>
            <w:tcW w:type="dxa" w:w="1440"/>
          </w:tcPr>
          <w:p>
            <w:pPr>
              <w:bidi/>
              <w:jc w:val="start"/>
            </w:pPr>
            <w:r>
              <w:rPr>
                <w:rtl/>
              </w:rPr>
            </w:r>
            <w:r>
              <w:rPr>
                <w:sz w:val="18"/>
                <w:rtl/>
              </w:rPr>
              <w:t>כן</w:t>
            </w:r>
          </w:p>
        </w:tc>
        <w:tc>
          <w:tcPr>
            <w:tcW w:type="dxa" w:w="1872"/>
          </w:tcPr>
          <w:p>
            <w:pPr>
              <w:bidi/>
              <w:jc w:val="start"/>
            </w:pPr>
            <w:r>
              <w:rPr>
                <w:rtl/>
              </w:rPr>
            </w:r>
            <w:r>
              <w:rPr>
                <w:sz w:val="18"/>
                <w:rtl/>
              </w:rPr>
              <w:t>לא הוערך</w:t>
            </w:r>
          </w:p>
        </w:tc>
        <w:tc>
          <w:tcPr>
            <w:tcW w:type="dxa" w:w="1440"/>
          </w:tcPr>
          <w:p>
            <w:pPr>
              <w:bidi w:val="0"/>
              <w:jc w:val="start"/>
            </w:pPr>
            <w:r/>
            <w:r>
              <w:rPr>
                <w:sz w:val="18"/>
              </w:rPr>
              <w:t>—</w:t>
            </w:r>
          </w:p>
        </w:tc>
        <w:tc>
          <w:tcPr>
            <w:tcW w:type="dxa" w:w="2592"/>
          </w:tcPr>
          <w:p>
            <w:pPr>
              <w:bidi/>
              <w:jc w:val="start"/>
            </w:pPr>
            <w:r>
              <w:rPr>
                <w:rtl/>
              </w:rPr>
            </w:r>
            <w:r>
              <w:rPr>
                <w:sz w:val="18"/>
                <w:rtl/>
              </w:rPr>
              <w:t>לאמת ידנית</w:t>
            </w:r>
          </w:p>
        </w:tc>
      </w:tr>
    </w:tbl>
    <w:p>
      <w:pPr>
        <w:bidi/>
        <w:jc w:val="start"/>
      </w:pPr>
    </w:p>
    <w:p>
      <w:pPr>
        <w:pStyle w:val="Heading1"/>
        <w:pBdr>
          <w:bottom w:val="single" w:sz="18" w:space="4" w:color="E06D00"/>
        </w:pBdr>
        <w:bidi/>
        <w:jc w:val="start"/>
      </w:pPr>
      <w:r>
        <w:rPr>
          <w:rtl/>
        </w:rPr>
        <w:t>טבלת ראיות</w:t>
      </w:r>
    </w:p>
    <w:p>
      <w:pPr>
        <w:bidi/>
        <w:jc w:val="start"/>
      </w:pPr>
      <w:r>
        <w:rPr>
          <w:rFonts w:ascii="Times New Roman" w:hAnsi="Times New Roman" w:cs="Times New Roman"/>
          <w:b w:val="0"/>
          <w:color w:val="6B7280"/>
          <w:sz w:val="20"/>
          <w:rtl/>
        </w:rPr>
        <w:t>מה כל מקור אומר בפועל, ובאיזו מידה הוא תומך בטענה שלשמה נעשה בו שימוש. גם מקורות שלא הצלחנו לחלץ מהם ראיות מופיעים ברשימה, כדי שלא יוסתר דבר.</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864"/>
            <w:shd w:val="clear" w:color="auto" w:fill="FF7A00"/>
          </w:tcPr>
          <w:p>
            <w:pPr>
              <w:bidi/>
              <w:jc w:val="start"/>
            </w:pPr>
            <w:r>
              <w:rPr>
                <w:rtl/>
              </w:rPr>
            </w:r>
            <w:r>
              <w:rPr>
                <w:b/>
                <w:color w:val="FFFFFF"/>
                <w:sz w:val="18"/>
                <w:rtl/>
              </w:rPr>
              <w:t>מקור</w:t>
            </w:r>
          </w:p>
        </w:tc>
        <w:tc>
          <w:tcPr>
            <w:tcW w:type="dxa" w:w="3888"/>
            <w:shd w:val="clear" w:color="auto" w:fill="FF7A00"/>
          </w:tcPr>
          <w:p>
            <w:pPr>
              <w:bidi/>
              <w:jc w:val="start"/>
            </w:pPr>
            <w:r>
              <w:rPr>
                <w:rtl/>
              </w:rPr>
            </w:r>
            <w:r>
              <w:rPr>
                <w:b/>
                <w:color w:val="FFFFFF"/>
                <w:sz w:val="18"/>
                <w:rtl/>
              </w:rPr>
              <w:t>ראיות מן המקור</w:t>
            </w:r>
          </w:p>
        </w:tc>
        <w:tc>
          <w:tcPr>
            <w:tcW w:type="dxa" w:w="1440"/>
            <w:shd w:val="clear" w:color="auto" w:fill="FF7A00"/>
          </w:tcPr>
          <w:p>
            <w:pPr>
              <w:bidi/>
              <w:jc w:val="start"/>
            </w:pPr>
            <w:r>
              <w:rPr>
                <w:rtl/>
              </w:rPr>
            </w:r>
            <w:r>
              <w:rPr>
                <w:b/>
                <w:color w:val="FFFFFF"/>
                <w:sz w:val="18"/>
                <w:rtl/>
              </w:rPr>
              <w:t>רמת תמיכה</w:t>
            </w:r>
          </w:p>
        </w:tc>
        <w:tc>
          <w:tcPr>
            <w:tcW w:type="dxa" w:w="2016"/>
            <w:shd w:val="clear" w:color="auto" w:fill="FF7A00"/>
          </w:tcPr>
          <w:p>
            <w:pPr>
              <w:bidi/>
              <w:jc w:val="start"/>
            </w:pPr>
            <w:r>
              <w:rPr>
                <w:rtl/>
              </w:rPr>
            </w:r>
            <w:r>
              <w:rPr>
                <w:b/>
                <w:color w:val="FFFFFF"/>
                <w:sz w:val="18"/>
                <w:rtl/>
              </w:rPr>
              <w:t>פעולה</w:t>
            </w:r>
          </w:p>
        </w:tc>
      </w:tr>
      <w:tr>
        <w:trPr>
          <w:cantSplit/>
        </w:trPr>
        <w:tc>
          <w:tcPr>
            <w:tcW w:type="dxa" w:w="864"/>
          </w:tcPr>
          <w:p>
            <w:pPr>
              <w:bidi w:val="0"/>
              <w:jc w:val="start"/>
            </w:pPr>
            <w:r/>
            <w:r>
              <w:rPr>
                <w:sz w:val="18"/>
              </w:rPr>
              <w:t>S1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להחליף / למצוא מקור חזק יותר</w:t>
            </w:r>
          </w:p>
        </w:tc>
      </w:tr>
      <w:tr>
        <w:trPr>
          <w:cantSplit/>
        </w:trPr>
        <w:tc>
          <w:tcPr>
            <w:tcW w:type="dxa" w:w="864"/>
            <w:shd w:val="clear" w:color="auto" w:fill="FFF5EB"/>
          </w:tcPr>
          <w:p>
            <w:pPr>
              <w:bidi w:val="0"/>
              <w:jc w:val="start"/>
            </w:pPr>
            <w:r/>
            <w:r>
              <w:rPr>
                <w:sz w:val="18"/>
              </w:rPr>
              <w:t>S2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S20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S21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S22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S23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S24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S25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S26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S27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S28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S29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S30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S32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S34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S36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S38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S39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S41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S43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S45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S47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S48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S49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S50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S52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S54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S56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S58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S59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S61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S63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S65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S67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S68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S69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S70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S72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S74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S76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S78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S79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S81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S83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S85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S87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S88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S89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S90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S92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S94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S96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S98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S99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S101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S103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S105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S107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S108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S109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S110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S112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S114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S116</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S117</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S118</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S119</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S120</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S121</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S122</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S123</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r>
        <w:trPr>
          <w:cantSplit/>
        </w:trPr>
        <w:tc>
          <w:tcPr>
            <w:tcW w:type="dxa" w:w="864"/>
            <w:shd w:val="clear" w:color="auto" w:fill="FFF5EB"/>
          </w:tcPr>
          <w:p>
            <w:pPr>
              <w:bidi w:val="0"/>
              <w:jc w:val="start"/>
            </w:pPr>
            <w:r/>
            <w:r>
              <w:rPr>
                <w:sz w:val="18"/>
              </w:rPr>
              <w:t>S124</w:t>
            </w:r>
          </w:p>
        </w:tc>
        <w:tc>
          <w:tcPr>
            <w:tcW w:type="dxa" w:w="3888"/>
            <w:shd w:val="clear" w:color="auto" w:fill="FFF5EB"/>
          </w:tcPr>
          <w:p>
            <w:pPr>
              <w:bidi w:val="0"/>
              <w:jc w:val="start"/>
            </w:pPr>
            <w:r/>
            <w:r>
              <w:rPr>
                <w:sz w:val="18"/>
              </w:rPr>
              <w:t>—</w:t>
            </w:r>
          </w:p>
        </w:tc>
        <w:tc>
          <w:tcPr>
            <w:tcW w:type="dxa" w:w="1440"/>
            <w:shd w:val="clear" w:color="auto" w:fill="FFF5EB"/>
          </w:tcPr>
          <w:p>
            <w:pPr>
              <w:bidi/>
              <w:jc w:val="start"/>
            </w:pPr>
            <w:r>
              <w:rPr>
                <w:rtl/>
              </w:rPr>
            </w:r>
            <w:r>
              <w:rPr>
                <w:sz w:val="18"/>
                <w:rtl/>
              </w:rPr>
              <w:t>רקע</w:t>
            </w:r>
          </w:p>
        </w:tc>
        <w:tc>
          <w:tcPr>
            <w:tcW w:type="dxa" w:w="2016"/>
            <w:shd w:val="clear" w:color="auto" w:fill="FFF5EB"/>
          </w:tcPr>
          <w:p>
            <w:pPr>
              <w:bidi/>
              <w:jc w:val="start"/>
            </w:pPr>
            <w:r>
              <w:rPr>
                <w:rtl/>
              </w:rPr>
            </w:r>
            <w:r>
              <w:rPr>
                <w:sz w:val="18"/>
                <w:rtl/>
              </w:rPr>
              <w:t>לאמת ידנית</w:t>
            </w:r>
          </w:p>
        </w:tc>
      </w:tr>
      <w:tr>
        <w:trPr>
          <w:cantSplit/>
        </w:trPr>
        <w:tc>
          <w:tcPr>
            <w:tcW w:type="dxa" w:w="864"/>
          </w:tcPr>
          <w:p>
            <w:pPr>
              <w:bidi w:val="0"/>
              <w:jc w:val="start"/>
            </w:pPr>
            <w:r/>
            <w:r>
              <w:rPr>
                <w:sz w:val="18"/>
              </w:rPr>
              <w:t>S125</w:t>
            </w:r>
          </w:p>
        </w:tc>
        <w:tc>
          <w:tcPr>
            <w:tcW w:type="dxa" w:w="3888"/>
          </w:tcPr>
          <w:p>
            <w:pPr>
              <w:bidi w:val="0"/>
              <w:jc w:val="start"/>
            </w:pPr>
            <w:r/>
            <w:r>
              <w:rPr>
                <w:sz w:val="18"/>
              </w:rPr>
              <w:t>—</w:t>
            </w:r>
          </w:p>
        </w:tc>
        <w:tc>
          <w:tcPr>
            <w:tcW w:type="dxa" w:w="1440"/>
          </w:tcPr>
          <w:p>
            <w:pPr>
              <w:bidi/>
              <w:jc w:val="start"/>
            </w:pPr>
            <w:r>
              <w:rPr>
                <w:rtl/>
              </w:rPr>
            </w:r>
            <w:r>
              <w:rPr>
                <w:sz w:val="18"/>
                <w:rtl/>
              </w:rPr>
              <w:t>רקע</w:t>
            </w:r>
          </w:p>
        </w:tc>
        <w:tc>
          <w:tcPr>
            <w:tcW w:type="dxa" w:w="2016"/>
          </w:tcPr>
          <w:p>
            <w:pPr>
              <w:bidi/>
              <w:jc w:val="start"/>
            </w:pPr>
            <w:r>
              <w:rPr>
                <w:rtl/>
              </w:rPr>
            </w:r>
            <w:r>
              <w:rPr>
                <w:sz w:val="18"/>
                <w:rtl/>
              </w:rPr>
              <w:t>לאמת ידנית</w:t>
            </w:r>
          </w:p>
        </w:tc>
      </w:tr>
    </w:tbl>
    <w:p>
      <w:pPr>
        <w:bidi/>
        <w:jc w:val="start"/>
      </w:pPr>
    </w:p>
    <w:p>
      <w:pPr>
        <w:pStyle w:val="Heading1"/>
        <w:pBdr>
          <w:bottom w:val="single" w:sz="18" w:space="4" w:color="E06D00"/>
        </w:pBdr>
        <w:bidi/>
        <w:jc w:val="start"/>
      </w:pPr>
      <w:r>
        <w:rPr>
          <w:rtl/>
        </w:rPr>
        <w:t>סיכום ספרות / מקורות</w:t>
      </w:r>
    </w:p>
    <w:p>
      <w:pPr>
        <w:bidi/>
        <w:jc w:val="start"/>
      </w:pPr>
      <w:r>
        <w:rPr>
          <w:rFonts w:ascii="Times New Roman" w:hAnsi="Times New Roman" w:cs="Times New Roman"/>
          <w:b w:val="0"/>
          <w:color w:val="6B7280"/>
          <w:sz w:val="20"/>
          <w:rtl/>
        </w:rPr>
        <w:t>סיכום בשפה בהירה של המקורות המרכזיים העומדים מאחורי העבודה שלך, כדי לסייע לך להחליט מה לקרוא והיכן לחזק את הטיעון.</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728"/>
        <w:gridCol w:w="1728"/>
        <w:gridCol w:w="1728"/>
        <w:gridCol w:w="1728"/>
        <w:gridCol w:w="1728"/>
      </w:tblGrid>
      <w:tr>
        <w:trPr>
          <w:tblHeader/>
          <w:cantSplit/>
        </w:trPr>
        <w:tc>
          <w:tcPr>
            <w:tcW w:type="dxa" w:w="720"/>
            <w:shd w:val="clear" w:color="auto" w:fill="FF7A00"/>
          </w:tcPr>
          <w:p>
            <w:pPr>
              <w:bidi/>
              <w:jc w:val="start"/>
            </w:pPr>
            <w:r>
              <w:rPr>
                <w:rtl/>
              </w:rPr>
            </w:r>
            <w:r>
              <w:rPr>
                <w:b/>
                <w:color w:val="FFFFFF"/>
                <w:sz w:val="18"/>
                <w:rtl/>
              </w:rPr>
              <w:t>מקור</w:t>
            </w:r>
          </w:p>
        </w:tc>
        <w:tc>
          <w:tcPr>
            <w:tcW w:type="dxa" w:w="3744"/>
            <w:shd w:val="clear" w:color="auto" w:fill="FF7A00"/>
          </w:tcPr>
          <w:p>
            <w:pPr>
              <w:bidi/>
              <w:jc w:val="start"/>
            </w:pPr>
            <w:r>
              <w:rPr>
                <w:rtl/>
              </w:rPr>
            </w:r>
            <w:r>
              <w:rPr>
                <w:b/>
                <w:color w:val="FFFFFF"/>
                <w:sz w:val="18"/>
                <w:rtl/>
              </w:rPr>
              <w:t>תרומה עיקרית</w:t>
            </w:r>
          </w:p>
        </w:tc>
        <w:tc>
          <w:tcPr>
            <w:tcW w:type="dxa" w:w="1872"/>
            <w:shd w:val="clear" w:color="auto" w:fill="FF7A00"/>
          </w:tcPr>
          <w:p>
            <w:pPr>
              <w:bidi/>
              <w:jc w:val="start"/>
            </w:pPr>
            <w:r>
              <w:rPr>
                <w:rtl/>
              </w:rPr>
            </w:r>
            <w:r>
              <w:rPr>
                <w:b/>
                <w:color w:val="FFFFFF"/>
                <w:sz w:val="18"/>
                <w:rtl/>
              </w:rPr>
              <w:t>שימש עבור</w:t>
            </w:r>
          </w:p>
        </w:tc>
        <w:tc>
          <w:tcPr>
            <w:tcW w:type="dxa" w:w="1872"/>
            <w:shd w:val="clear" w:color="auto" w:fill="FF7A00"/>
          </w:tcPr>
          <w:p>
            <w:pPr>
              <w:bidi/>
              <w:jc w:val="start"/>
            </w:pPr>
            <w:r>
              <w:rPr>
                <w:rtl/>
              </w:rPr>
            </w:r>
            <w:r>
              <w:rPr>
                <w:b/>
                <w:color w:val="FFFFFF"/>
                <w:sz w:val="18"/>
                <w:rtl/>
              </w:rPr>
              <w:t>חוזקה</w:t>
            </w:r>
          </w:p>
        </w:tc>
        <w:tc>
          <w:tcPr>
            <w:tcW w:type="dxa" w:w="2304"/>
            <w:shd w:val="clear" w:color="auto" w:fill="FF7A00"/>
          </w:tcPr>
          <w:p>
            <w:pPr>
              <w:bidi/>
              <w:jc w:val="start"/>
            </w:pPr>
            <w:r>
              <w:rPr>
                <w:rtl/>
              </w:rPr>
            </w:r>
            <w:r>
              <w:rPr>
                <w:b/>
                <w:color w:val="FFFFFF"/>
                <w:sz w:val="18"/>
                <w:rtl/>
              </w:rPr>
              <w:t>מגבלה</w:t>
            </w:r>
          </w:p>
        </w:tc>
      </w:tr>
      <w:tr>
        <w:trPr>
          <w:cantSplit/>
        </w:trPr>
        <w:tc>
          <w:tcPr>
            <w:tcW w:type="dxa" w:w="720"/>
          </w:tcPr>
          <w:p>
            <w:pPr>
              <w:bidi w:val="0"/>
              <w:jc w:val="start"/>
            </w:pPr>
            <w:r/>
            <w:r>
              <w:rPr>
                <w:sz w:val="18"/>
              </w:rPr>
              <w:t>S1</w:t>
            </w:r>
          </w:p>
        </w:tc>
        <w:tc>
          <w:tcPr>
            <w:tcW w:type="dxa" w:w="3744"/>
          </w:tcPr>
          <w:p>
            <w:pPr>
              <w:bidi w:val="0"/>
              <w:jc w:val="start"/>
            </w:pPr>
            <w:r/>
            <w:r>
              <w:rPr>
                <w:sz w:val="18"/>
              </w:rPr>
              <w:t>Natural language generation (NLG) is the process wherein computers produce output in readable human languages. Such output takes myriad forms, including news articles, sports reports, prose fiction, and poetry.</w:t>
            </w:r>
          </w:p>
        </w:tc>
        <w:tc>
          <w:tcPr>
            <w:tcW w:type="dxa" w:w="1872"/>
          </w:tcPr>
          <w:p>
            <w:pPr>
              <w:bidi/>
              <w:jc w:val="start"/>
            </w:pPr>
            <w:r>
              <w:rPr>
                <w:rtl/>
              </w:rPr>
            </w:r>
            <w:r>
              <w:rPr>
                <w:sz w:val="18"/>
                <w:rtl/>
              </w:rPr>
              <w:t>רקע / הקשר</w:t>
            </w:r>
          </w:p>
        </w:tc>
        <w:tc>
          <w:tcPr>
            <w:tcW w:type="dxa" w:w="1872"/>
          </w:tcPr>
          <w:p>
            <w:pPr>
              <w:bidi w:val="0"/>
              <w:jc w:val="start"/>
            </w:pPr>
            <w:r/>
            <w:r>
              <w:rPr>
                <w:sz w:val="18"/>
              </w:rPr>
              <w:t>Figshare</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w:t>
            </w:r>
          </w:p>
        </w:tc>
        <w:tc>
          <w:tcPr>
            <w:tcW w:type="dxa" w:w="3744"/>
            <w:shd w:val="clear" w:color="auto" w:fill="FFF5EB"/>
          </w:tcPr>
          <w:p>
            <w:pPr>
              <w:bidi w:val="0"/>
              <w:jc w:val="start"/>
            </w:pPr>
            <w:r/>
            <w:r>
              <w:rPr>
                <w:sz w:val="18"/>
              </w:rPr>
              <w:t>This paper examines the epistemic and ethical dimensions of Luciano Floridi’s (2025a) concept of “distant writing,” a form of AI-assisted composition in which large language models (LLMs) are used to generate, refine, or structure literary and argumentative…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The International Journal of Social Sciences and Humanities Invention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w:t>
            </w:r>
          </w:p>
        </w:tc>
        <w:tc>
          <w:tcPr>
            <w:tcW w:type="dxa" w:w="3744"/>
          </w:tcPr>
          <w:p>
            <w:pPr>
              <w:bidi w:val="0"/>
              <w:jc w:val="start"/>
            </w:pPr>
            <w:r/>
            <w:r>
              <w:rPr>
                <w:sz w:val="18"/>
              </w:rPr>
              <w:t>Reimagining the scholarly book as living and collaborative—not as commodified and essentialized, but in all its dynamic materiality. In this book, Janneke Adema proposes that we reimagine the scholarly book as a living and collaborative project—not as…</w:t>
            </w:r>
          </w:p>
        </w:tc>
        <w:tc>
          <w:tcPr>
            <w:tcW w:type="dxa" w:w="1872"/>
          </w:tcPr>
          <w:p>
            <w:pPr>
              <w:bidi/>
              <w:jc w:val="start"/>
            </w:pPr>
            <w:r>
              <w:rPr>
                <w:rtl/>
              </w:rPr>
            </w:r>
            <w:r>
              <w:rPr>
                <w:sz w:val="18"/>
                <w:rtl/>
              </w:rPr>
              <w:t>רקע / הקשר</w:t>
            </w:r>
          </w:p>
        </w:tc>
        <w:tc>
          <w:tcPr>
            <w:tcW w:type="dxa" w:w="1872"/>
          </w:tcPr>
          <w:p>
            <w:pPr>
              <w:bidi w:val="0"/>
              <w:jc w:val="start"/>
            </w:pPr>
            <w:r/>
            <w:r>
              <w:rPr>
                <w:sz w:val="18"/>
              </w:rPr>
              <w:t>The MIT Press eBooks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w:t>
            </w:r>
          </w:p>
        </w:tc>
        <w:tc>
          <w:tcPr>
            <w:tcW w:type="dxa" w:w="3744"/>
            <w:shd w:val="clear" w:color="auto" w:fill="FFF5EB"/>
          </w:tcPr>
          <w:p>
            <w:pPr>
              <w:bidi w:val="0"/>
              <w:jc w:val="start"/>
            </w:pPr>
            <w:r/>
            <w:r>
              <w:rPr>
                <w:sz w:val="18"/>
              </w:rPr>
              <w:t>1 This goes along with a reduction in complexity we should be aware of.Jannidis et al., "Rede ber den Autor an die Gebildeten unter seinen Verchtern," 32 (for bibliographical details, see "introduction").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Bamberger Orientstudien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w:t>
            </w:r>
          </w:p>
        </w:tc>
        <w:tc>
          <w:tcPr>
            <w:tcW w:type="dxa" w:w="3744"/>
          </w:tcPr>
          <w:p>
            <w:pPr>
              <w:bidi w:val="0"/>
              <w:jc w:val="start"/>
            </w:pPr>
            <w:r/>
            <w:r>
              <w:rPr>
                <w:sz w:val="18"/>
              </w:rPr>
              <w:t>The production, reception and discussion of fanfiction is a major aspect of contemporary global media. Thus far, however, the genre has been subject to relatively little rigorous qualitative or quantitative study-a problem that Judith M.</w:t>
            </w:r>
          </w:p>
        </w:tc>
        <w:tc>
          <w:tcPr>
            <w:tcW w:type="dxa" w:w="1872"/>
          </w:tcPr>
          <w:p>
            <w:pPr>
              <w:bidi/>
              <w:jc w:val="start"/>
            </w:pPr>
            <w:r>
              <w:rPr>
                <w:rtl/>
              </w:rPr>
            </w:r>
            <w:r>
              <w:rPr>
                <w:sz w:val="18"/>
                <w:rtl/>
              </w:rPr>
              <w:t>רקע / הקשר</w:t>
            </w:r>
          </w:p>
        </w:tc>
        <w:tc>
          <w:tcPr>
            <w:tcW w:type="dxa" w:w="1872"/>
          </w:tcPr>
          <w:p>
            <w:pPr>
              <w:bidi w:val="0"/>
              <w:jc w:val="start"/>
            </w:pPr>
            <w:r/>
            <w:r>
              <w:rPr>
                <w:sz w:val="18"/>
              </w:rPr>
              <w:t>Amsterdam University Press eBooks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w:t>
            </w:r>
          </w:p>
        </w:tc>
        <w:tc>
          <w:tcPr>
            <w:tcW w:type="dxa" w:w="3744"/>
            <w:shd w:val="clear" w:color="auto" w:fill="FFF5EB"/>
          </w:tcPr>
          <w:p>
            <w:pPr>
              <w:bidi w:val="0"/>
              <w:jc w:val="start"/>
            </w:pPr>
            <w:r/>
            <w:r>
              <w:rPr>
                <w:sz w:val="18"/>
              </w:rPr>
              <w:t>How do artistic experiments with artificial intelligence problematize human-centered notions of creative agency, authorship, and ownership? Offering a wide-ranging discussion of contemporary digital art practices, philosophical and technical considerations…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Social Science Open Access Repository (GESIS – Leibniz Institute for the Social Sciences)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w:t>
            </w:r>
          </w:p>
        </w:tc>
        <w:tc>
          <w:tcPr>
            <w:tcW w:type="dxa" w:w="3744"/>
          </w:tcPr>
          <w:p>
            <w:pPr>
              <w:bidi w:val="0"/>
              <w:jc w:val="start"/>
            </w:pPr>
            <w:r/>
            <w:r>
              <w:rPr>
                <w:sz w:val="18"/>
              </w:rPr>
              <w:t>Abstract Recent AI developments have made it possible for AI to auto-generate content—text, image, and sound. Highly realistic auto-generated content raises the question of whether one can differentiate between what is AI-generated and human-generated, and…</w:t>
            </w:r>
          </w:p>
        </w:tc>
        <w:tc>
          <w:tcPr>
            <w:tcW w:type="dxa" w:w="1872"/>
          </w:tcPr>
          <w:p>
            <w:pPr>
              <w:bidi/>
              <w:jc w:val="start"/>
            </w:pPr>
            <w:r>
              <w:rPr>
                <w:rtl/>
              </w:rPr>
            </w:r>
            <w:r>
              <w:rPr>
                <w:sz w:val="18"/>
                <w:rtl/>
              </w:rPr>
              <w:t>רקע / הקשר</w:t>
            </w:r>
          </w:p>
        </w:tc>
        <w:tc>
          <w:tcPr>
            <w:tcW w:type="dxa" w:w="1872"/>
          </w:tcPr>
          <w:p>
            <w:pPr>
              <w:bidi w:val="0"/>
              <w:jc w:val="start"/>
            </w:pPr>
            <w:r/>
            <w:r>
              <w:rPr>
                <w:sz w:val="18"/>
              </w:rPr>
              <w:t>AI and Ethics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w:t>
            </w:r>
          </w:p>
        </w:tc>
        <w:tc>
          <w:tcPr>
            <w:tcW w:type="dxa" w:w="3744"/>
            <w:shd w:val="clear" w:color="auto" w:fill="FFF5EB"/>
          </w:tcPr>
          <w:p>
            <w:pPr>
              <w:bidi w:val="0"/>
              <w:jc w:val="start"/>
            </w:pPr>
            <w:r/>
            <w:r>
              <w:rPr>
                <w:sz w:val="18"/>
              </w:rPr>
              <w:t>Purpose Following the surge of documents laying out organizations' ethical principles for their use of artificial intelligence (AI), there is a growing demand for translating ethical principles to practice through AI governance (AIG).</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Internet Research</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Computer Law &amp;amp; Security Review</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w:t>
            </w:r>
          </w:p>
        </w:tc>
        <w:tc>
          <w:tcPr>
            <w:tcW w:type="dxa" w:w="3744"/>
            <w:shd w:val="clear" w:color="auto" w:fill="FFF5EB"/>
          </w:tcPr>
          <w:p>
            <w:pPr>
              <w:bidi w:val="0"/>
              <w:jc w:val="start"/>
            </w:pPr>
            <w:r/>
            <w:r>
              <w:rPr>
                <w:sz w:val="18"/>
              </w:rPr>
              <w:t>ABSTRACT: This essay provides an overview of notions of authorship in AI and natural language processing systems and discusses past and current debates about computers as literary authors.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German Studies Review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w:t>
            </w:r>
          </w:p>
        </w:tc>
        <w:tc>
          <w:tcPr>
            <w:tcW w:type="dxa" w:w="3744"/>
          </w:tcPr>
          <w:p>
            <w:pPr>
              <w:bidi w:val="0"/>
              <w:jc w:val="start"/>
            </w:pPr>
            <w:r/>
            <w:r>
              <w:rPr>
                <w:sz w:val="18"/>
              </w:rPr>
              <w:t>What is the point of publishing in the humanities? This Element provides an answer to this question. It builds on a unique set of quantitative and qualitative data to understand why humanities scholars publish.</w:t>
            </w:r>
          </w:p>
        </w:tc>
        <w:tc>
          <w:tcPr>
            <w:tcW w:type="dxa" w:w="1872"/>
          </w:tcPr>
          <w:p>
            <w:pPr>
              <w:bidi/>
              <w:jc w:val="start"/>
            </w:pPr>
            <w:r>
              <w:rPr>
                <w:rtl/>
              </w:rPr>
            </w:r>
            <w:r>
              <w:rPr>
                <w:sz w:val="18"/>
                <w:rtl/>
              </w:rPr>
              <w:t>רקע / הקשר</w:t>
            </w:r>
          </w:p>
        </w:tc>
        <w:tc>
          <w:tcPr>
            <w:tcW w:type="dxa" w:w="1872"/>
          </w:tcPr>
          <w:p>
            <w:pPr>
              <w:bidi w:val="0"/>
              <w:jc w:val="start"/>
            </w:pPr>
            <w:r/>
            <w:r>
              <w:rPr>
                <w:sz w:val="18"/>
              </w:rPr>
              <w:t>Cambridge University Press eBooks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S12</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Review of European and Comparative Law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S13</w:t>
            </w:r>
          </w:p>
        </w:tc>
        <w:tc>
          <w:tcPr>
            <w:tcW w:type="dxa" w:w="3744"/>
          </w:tcPr>
          <w:p>
            <w:pPr>
              <w:bidi w:val="0"/>
              <w:jc w:val="start"/>
            </w:pPr>
            <w:r/>
            <w:r>
              <w:rPr>
                <w:sz w:val="18"/>
              </w:rPr>
              <w:t>Abstract This article addresses the ethical challenges posed by generative artificial intelligence (AI) tools in higher education and explores the first responses of universities to these challenges globally.</w:t>
            </w:r>
          </w:p>
        </w:tc>
        <w:tc>
          <w:tcPr>
            <w:tcW w:type="dxa" w:w="1872"/>
          </w:tcPr>
          <w:p>
            <w:pPr>
              <w:bidi/>
              <w:jc w:val="start"/>
            </w:pPr>
            <w:r>
              <w:rPr>
                <w:rtl/>
              </w:rPr>
            </w:r>
            <w:r>
              <w:rPr>
                <w:sz w:val="18"/>
                <w:rtl/>
              </w:rPr>
              <w:t>רקע / הקשר</w:t>
            </w:r>
          </w:p>
        </w:tc>
        <w:tc>
          <w:tcPr>
            <w:tcW w:type="dxa" w:w="1872"/>
          </w:tcPr>
          <w:p>
            <w:pPr>
              <w:bidi w:val="0"/>
              <w:jc w:val="start"/>
            </w:pPr>
            <w:r/>
            <w:r>
              <w:rPr>
                <w:sz w:val="18"/>
              </w:rPr>
              <w:t>Humanities and Social Sciences Communications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S14</w:t>
            </w:r>
          </w:p>
        </w:tc>
        <w:tc>
          <w:tcPr>
            <w:tcW w:type="dxa" w:w="3744"/>
            <w:shd w:val="clear" w:color="auto" w:fill="FFF5EB"/>
          </w:tcPr>
          <w:p>
            <w:pPr>
              <w:bidi w:val="0"/>
              <w:jc w:val="start"/>
            </w:pPr>
            <w:r/>
            <w:r>
              <w:rPr>
                <w:sz w:val="18"/>
              </w:rPr>
              <w:t>on Research Integrity was held in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Research Integrity and Peer Review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S15</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Research Square</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S16</w:t>
            </w:r>
          </w:p>
        </w:tc>
        <w:tc>
          <w:tcPr>
            <w:tcW w:type="dxa" w:w="3744"/>
            <w:shd w:val="clear" w:color="auto" w:fill="FFF5EB"/>
          </w:tcPr>
          <w:p>
            <w:pPr>
              <w:bidi w:val="0"/>
              <w:jc w:val="start"/>
            </w:pPr>
            <w:r/>
            <w:r>
              <w:rPr>
                <w:sz w:val="18"/>
              </w:rPr>
              <w:t>Creativity and Its Discontents is a sharp critique of the intellectual property rights (IPR) – based creative economy, particularly as it is embraced or ignored in China.</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S17</w:t>
            </w:r>
          </w:p>
        </w:tc>
        <w:tc>
          <w:tcPr>
            <w:tcW w:type="dxa" w:w="3744"/>
          </w:tcPr>
          <w:p>
            <w:pPr>
              <w:bidi w:val="0"/>
              <w:jc w:val="start"/>
            </w:pPr>
            <w:r/>
            <w:r>
              <w:rPr>
                <w:sz w:val="18"/>
              </w:rPr>
              <w:t>Several of the composers we most frequently label “minimalists” have been engaged in disputes about musical authorship with fellow composers and former colleagues.</w:t>
            </w:r>
          </w:p>
        </w:tc>
        <w:tc>
          <w:tcPr>
            <w:tcW w:type="dxa" w:w="1872"/>
          </w:tcPr>
          <w:p>
            <w:pPr>
              <w:bidi/>
              <w:jc w:val="start"/>
            </w:pPr>
            <w:r>
              <w:rPr>
                <w:rtl/>
              </w:rPr>
            </w:r>
            <w:r>
              <w:rPr>
                <w:sz w:val="18"/>
                <w:rtl/>
              </w:rPr>
              <w:t>רקע / הקשר</w:t>
            </w:r>
          </w:p>
        </w:tc>
        <w:tc>
          <w:tcPr>
            <w:tcW w:type="dxa" w:w="1872"/>
          </w:tcPr>
          <w:p>
            <w:pPr>
              <w:bidi w:val="0"/>
              <w:jc w:val="start"/>
            </w:pPr>
            <w:r/>
            <w:r>
              <w:rPr>
                <w:sz w:val="18"/>
              </w:rPr>
              <w:t>TSpace</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S18</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S19</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S20</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S21</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The Varieties of Authorial Intention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S22</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Machine Learning Methods for Stylometry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S23</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S24</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S25</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›Prometheus Bound‹ - A Separate Authorial Trace in the Aeschylean Corpus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S26</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S27</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LawFoyer International Journal of Doctrinal Legal Research</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S28</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S29</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Machine Learning Methods for Stylometry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S30</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Copyright Law in Photographic Works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S31</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S32</w:t>
            </w:r>
          </w:p>
        </w:tc>
        <w:tc>
          <w:tcPr>
            <w:tcW w:type="dxa" w:w="3744"/>
            <w:shd w:val="clear" w:color="auto" w:fill="FFF5EB"/>
          </w:tcPr>
          <w:p>
            <w:pPr>
              <w:bidi w:val="0"/>
              <w:jc w:val="start"/>
            </w:pPr>
            <w:r/>
            <w:r>
              <w:rPr>
                <w:sz w:val="18"/>
              </w:rPr>
              <w:t>&amp;lt;p&amp;gt;&amp;lt;span&amp;gt;Questions surrounding the meaning of “&amp;lt;i&amp;gt;originality&amp;lt;/i&amp;gt;” lie at the center of copyright doctrine, yet after more than a century of jurisprudence across common law, and civil law systems, no unified theoretical foundation has…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S33</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S34</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S35</w:t>
            </w:r>
          </w:p>
        </w:tc>
        <w:tc>
          <w:tcPr>
            <w:tcW w:type="dxa" w:w="3744"/>
          </w:tcPr>
          <w:p>
            <w:pPr>
              <w:bidi w:val="0"/>
              <w:jc w:val="start"/>
            </w:pPr>
            <w:r/>
            <w:r>
              <w:rPr>
                <w:sz w:val="18"/>
              </w:rPr>
              <w:t>Abstract</w:t>
              <w:br/>
              <w:t xml:space="preserve">                Over the past four decades, digital tools have reshaped creative practice, progressively reconfiguring the human-technology nexus through which designers ideate, decide, and innovate.</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S36</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S37</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Literary and Linguistic Computing</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S38</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Philosophical Approaches to Artificial Intelligence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S39</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SSRN Electronic Journal</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S40</w:t>
            </w:r>
          </w:p>
        </w:tc>
        <w:tc>
          <w:tcPr>
            <w:tcW w:type="dxa" w:w="3744"/>
            <w:shd w:val="clear" w:color="auto" w:fill="FFF5EB"/>
          </w:tcPr>
          <w:p>
            <w:pPr>
              <w:bidi w:val="0"/>
              <w:jc w:val="start"/>
            </w:pPr>
            <w:r/>
            <w:r>
              <w:rPr>
                <w:sz w:val="18"/>
              </w:rPr>
              <w:t>This papers explores the question of human authorship when works are created with generative AI tools.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arXiv (Cornell University)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S41</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Author Fictions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S42</w:t>
            </w:r>
          </w:p>
        </w:tc>
        <w:tc>
          <w:tcPr>
            <w:tcW w:type="dxa" w:w="3744"/>
            <w:shd w:val="clear" w:color="auto" w:fill="FFF5EB"/>
          </w:tcPr>
          <w:p>
            <w:pPr>
              <w:bidi w:val="0"/>
              <w:jc w:val="start"/>
            </w:pPr>
            <w:r/>
            <w:r>
              <w:rPr>
                <w:sz w:val="18"/>
              </w:rPr>
              <w:t>This dissertation responds to widespread concerns, within and beyond the academy, about the quality of public discourse and what constitutes rhetorical competence.I contend that one explanation for the current distrust of rhetoric may be found in modem…</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OhioLink ETD Center (Ohio Library and Information Network)</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S43</w:t>
            </w:r>
          </w:p>
        </w:tc>
        <w:tc>
          <w:tcPr>
            <w:tcW w:type="dxa" w:w="3744"/>
          </w:tcPr>
          <w:p>
            <w:pPr>
              <w:bidi w:val="0"/>
              <w:jc w:val="start"/>
            </w:pPr>
            <w:r/>
            <w:r>
              <w:rPr>
                <w:sz w:val="18"/>
              </w:rPr>
              <w:t>The ability to protect and safeguard cultural heritage is of vital importance to some communities. Without the ability to maintain control over these expressions, external subjects could freely appropriate them, which could negatively affect the community’s…</w:t>
            </w:r>
          </w:p>
        </w:tc>
        <w:tc>
          <w:tcPr>
            <w:tcW w:type="dxa" w:w="1872"/>
          </w:tcPr>
          <w:p>
            <w:pPr>
              <w:bidi/>
              <w:jc w:val="start"/>
            </w:pPr>
            <w:r>
              <w:rPr>
                <w:rtl/>
              </w:rPr>
            </w:r>
            <w:r>
              <w:rPr>
                <w:sz w:val="18"/>
                <w:rtl/>
              </w:rPr>
              <w:t>רקע / הקשר</w:t>
            </w:r>
          </w:p>
        </w:tc>
        <w:tc>
          <w:tcPr>
            <w:tcW w:type="dxa" w:w="1872"/>
          </w:tcPr>
          <w:p>
            <w:pPr>
              <w:bidi w:val="0"/>
              <w:jc w:val="start"/>
            </w:pPr>
            <w:r/>
            <w:r>
              <w:rPr>
                <w:sz w:val="18"/>
              </w:rPr>
              <w:t>Scholars' Bank (University of Oregon)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S44</w:t>
            </w:r>
          </w:p>
        </w:tc>
        <w:tc>
          <w:tcPr>
            <w:tcW w:type="dxa" w:w="3744"/>
            <w:shd w:val="clear" w:color="auto" w:fill="FFF5EB"/>
          </w:tcPr>
          <w:p>
            <w:pPr>
              <w:bidi w:val="0"/>
              <w:jc w:val="start"/>
            </w:pPr>
            <w:r/>
            <w:r>
              <w:rPr>
                <w:sz w:val="18"/>
              </w:rPr>
              <w:t>The experience of transitioning to boarding schools away from home for Aboriginal secondary school students from regional and remote communities in Australia has not received the attention it deserves (Calma, 2009; Dodson, 2009).</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Australasian Journal of Paramedicine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S45</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Machine Learning Methods for Stylometry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S46</w:t>
            </w:r>
          </w:p>
        </w:tc>
        <w:tc>
          <w:tcPr>
            <w:tcW w:type="dxa" w:w="3744"/>
            <w:shd w:val="clear" w:color="auto" w:fill="FFF5EB"/>
          </w:tcPr>
          <w:p>
            <w:pPr>
              <w:bidi w:val="0"/>
              <w:jc w:val="start"/>
            </w:pPr>
            <w:r/>
            <w:r>
              <w:rPr>
                <w:sz w:val="18"/>
              </w:rPr>
              <w:t>In the seven decades following the Investment Company Act of 1940 coming into force in the United States, the mutual fund industry has undergone dramatic changes including, some argue, a transition from stewardship to salesmanship with asset-gathering…</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ERA</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S47</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Chicago-Kent law review</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S48</w:t>
            </w:r>
          </w:p>
        </w:tc>
        <w:tc>
          <w:tcPr>
            <w:tcW w:type="dxa" w:w="3744"/>
            <w:shd w:val="clear" w:color="auto" w:fill="FFF5EB"/>
          </w:tcPr>
          <w:p>
            <w:pPr>
              <w:bidi w:val="0"/>
              <w:jc w:val="start"/>
            </w:pPr>
            <w:r/>
            <w:r>
              <w:rPr>
                <w:sz w:val="18"/>
              </w:rPr>
              <w:t>This study concentrates on the contested concept of pastiche in literary studies. It offers the first detailed examination of the history of the concept from its origins in the seventeenth century to the present, showing how pastiche emerged as a critical…</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Työväentutkimus Vuosikirja</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S49</w:t>
            </w:r>
          </w:p>
        </w:tc>
        <w:tc>
          <w:tcPr>
            <w:tcW w:type="dxa" w:w="3744"/>
          </w:tcPr>
          <w:p>
            <w:pPr>
              <w:bidi w:val="0"/>
              <w:jc w:val="start"/>
            </w:pPr>
            <w:r/>
            <w:r>
              <w:rPr>
                <w:sz w:val="18"/>
              </w:rPr>
              <w:t>Consumers in the marketplace of ideas are well acquainted with one aspect of the Foucauldian concept of the “author function”. the way in which an author's name serves to organize both producer inputs—the various works the author wishes to have associated…</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S50</w:t>
            </w:r>
          </w:p>
        </w:tc>
        <w:tc>
          <w:tcPr>
            <w:tcW w:type="dxa" w:w="3744"/>
            <w:shd w:val="clear" w:color="auto" w:fill="FFF5EB"/>
          </w:tcPr>
          <w:p>
            <w:pPr>
              <w:bidi w:val="0"/>
              <w:jc w:val="start"/>
            </w:pPr>
            <w:r/>
            <w:r>
              <w:rPr>
                <w:sz w:val="18"/>
              </w:rPr>
              <w:t>Abstract Despite its critical role for the development of the field, little is known about replication in second language (L2) research. To better understand replication practice, we first provide a narrative review of challenges related to replication,…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Language Learning</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S51</w:t>
            </w:r>
          </w:p>
        </w:tc>
        <w:tc>
          <w:tcPr>
            <w:tcW w:type="dxa" w:w="3744"/>
          </w:tcPr>
          <w:p>
            <w:pPr>
              <w:bidi w:val="0"/>
              <w:jc w:val="start"/>
            </w:pPr>
            <w:r/>
            <w:r>
              <w:rPr>
                <w:sz w:val="18"/>
              </w:rPr>
              <w:t>Peer review of research articles is a core part of our scholarly communication system. In spite of its importance, the status and purpose of peer review is often contested.</w:t>
            </w:r>
          </w:p>
        </w:tc>
        <w:tc>
          <w:tcPr>
            <w:tcW w:type="dxa" w:w="1872"/>
          </w:tcPr>
          <w:p>
            <w:pPr>
              <w:bidi/>
              <w:jc w:val="start"/>
            </w:pPr>
            <w:r>
              <w:rPr>
                <w:rtl/>
              </w:rPr>
            </w:r>
            <w:r>
              <w:rPr>
                <w:sz w:val="18"/>
                <w:rtl/>
              </w:rPr>
              <w:t>רקע / הקשר</w:t>
            </w:r>
          </w:p>
        </w:tc>
        <w:tc>
          <w:tcPr>
            <w:tcW w:type="dxa" w:w="1872"/>
          </w:tcPr>
          <w:p>
            <w:pPr>
              <w:bidi w:val="0"/>
              <w:jc w:val="start"/>
            </w:pPr>
            <w:r/>
            <w:r>
              <w:rPr>
                <w:sz w:val="18"/>
              </w:rPr>
              <w:t>F1000Research</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S52</w:t>
            </w:r>
          </w:p>
        </w:tc>
        <w:tc>
          <w:tcPr>
            <w:tcW w:type="dxa" w:w="3744"/>
            <w:shd w:val="clear" w:color="auto" w:fill="FFF5EB"/>
          </w:tcPr>
          <w:p>
            <w:pPr>
              <w:bidi w:val="0"/>
              <w:jc w:val="start"/>
            </w:pPr>
            <w:r/>
            <w:r>
              <w:rPr>
                <w:sz w:val="18"/>
              </w:rPr>
              <w:t>Preface Introduction Raji C. Steineck and Christian Schwermann Composite Authorship in Western Zhou Bronze Inscriptions: The Case of the Tianwang gui Inscription Christian Schwermann Authorship in the Canon of Songs (Shi Jing) Alexander Beecroft The Compiler…</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S53</w:t>
            </w:r>
          </w:p>
        </w:tc>
        <w:tc>
          <w:tcPr>
            <w:tcW w:type="dxa" w:w="3744"/>
          </w:tcPr>
          <w:p>
            <w:pPr>
              <w:bidi w:val="0"/>
              <w:jc w:val="start"/>
            </w:pPr>
            <w:r/>
            <w:r>
              <w:rPr>
                <w:sz w:val="18"/>
              </w:rPr>
              <w:t>Can alternative metrics (altmetrics) data be used to measure societal impact? We wrote this literature overview of empirical studies in order to find an answer to this question. The overview includes two parts.</w:t>
            </w:r>
          </w:p>
        </w:tc>
        <w:tc>
          <w:tcPr>
            <w:tcW w:type="dxa" w:w="1872"/>
          </w:tcPr>
          <w:p>
            <w:pPr>
              <w:bidi/>
              <w:jc w:val="start"/>
            </w:pPr>
            <w:r>
              <w:rPr>
                <w:rtl/>
              </w:rPr>
            </w:r>
            <w:r>
              <w:rPr>
                <w:sz w:val="18"/>
                <w:rtl/>
              </w:rPr>
              <w:t>רקע / הקשר</w:t>
            </w:r>
          </w:p>
        </w:tc>
        <w:tc>
          <w:tcPr>
            <w:tcW w:type="dxa" w:w="1872"/>
          </w:tcPr>
          <w:p>
            <w:pPr>
              <w:bidi w:val="0"/>
              <w:jc w:val="start"/>
            </w:pPr>
            <w:r/>
            <w:r>
              <w:rPr>
                <w:sz w:val="18"/>
              </w:rPr>
              <w:t>El Profesional de la Informacion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S54</w:t>
            </w:r>
          </w:p>
        </w:tc>
        <w:tc>
          <w:tcPr>
            <w:tcW w:type="dxa" w:w="3744"/>
            <w:shd w:val="clear" w:color="auto" w:fill="FFF5EB"/>
          </w:tcPr>
          <w:p>
            <w:pPr>
              <w:bidi w:val="0"/>
              <w:jc w:val="start"/>
            </w:pPr>
            <w:r/>
            <w:r>
              <w:rPr>
                <w:sz w:val="18"/>
              </w:rPr>
              <w:t>Abstract Research on the entrepreneurship ecosystem, based on different data and scales, limits the acceptance of a single definition. This conceptual limitation and the still recent research and higher education institutions have come to be seen as…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Journal of the Knowledge Economy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S55</w:t>
            </w:r>
          </w:p>
        </w:tc>
        <w:tc>
          <w:tcPr>
            <w:tcW w:type="dxa" w:w="3744"/>
          </w:tcPr>
          <w:p>
            <w:pPr>
              <w:bidi w:val="0"/>
              <w:jc w:val="start"/>
            </w:pPr>
            <w:r/>
            <w:r>
              <w:rPr>
                <w:sz w:val="18"/>
              </w:rPr>
              <w:t>Purpose The study aims to analyze the synergy of artificial intelligence (AI), with scientometrics, webometrics and bibliometrics to unlock and to emphasize the potential of the applications and benefits of AI algorithms in these fields.</w:t>
            </w:r>
          </w:p>
        </w:tc>
        <w:tc>
          <w:tcPr>
            <w:tcW w:type="dxa" w:w="1872"/>
          </w:tcPr>
          <w:p>
            <w:pPr>
              <w:bidi/>
              <w:jc w:val="start"/>
            </w:pPr>
            <w:r>
              <w:rPr>
                <w:rtl/>
              </w:rPr>
            </w:r>
            <w:r>
              <w:rPr>
                <w:sz w:val="18"/>
                <w:rtl/>
              </w:rPr>
              <w:t>רקע / הקשר</w:t>
            </w:r>
          </w:p>
        </w:tc>
        <w:tc>
          <w:tcPr>
            <w:tcW w:type="dxa" w:w="1872"/>
          </w:tcPr>
          <w:p>
            <w:pPr>
              <w:bidi w:val="0"/>
              <w:jc w:val="start"/>
            </w:pPr>
            <w:r/>
            <w:r>
              <w:rPr>
                <w:sz w:val="18"/>
              </w:rPr>
              <w:t>Library Hi Tech</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S56</w:t>
            </w:r>
          </w:p>
        </w:tc>
        <w:tc>
          <w:tcPr>
            <w:tcW w:type="dxa" w:w="3744"/>
            <w:shd w:val="clear" w:color="auto" w:fill="FFF5EB"/>
          </w:tcPr>
          <w:p>
            <w:pPr>
              <w:bidi w:val="0"/>
              <w:jc w:val="start"/>
            </w:pPr>
            <w:r/>
            <w:r>
              <w:rPr>
                <w:sz w:val="18"/>
              </w:rPr>
              <w:t>&lt;ns4:p&gt;Peer review of research articles is a core part of our scholarly communication system. In spite of its importance, the status and purpose of peer review is often contested.</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F1000Research</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S57</w:t>
            </w:r>
          </w:p>
        </w:tc>
        <w:tc>
          <w:tcPr>
            <w:tcW w:type="dxa" w:w="3744"/>
          </w:tcPr>
          <w:p>
            <w:pPr>
              <w:bidi w:val="0"/>
              <w:jc w:val="start"/>
            </w:pPr>
            <w:r/>
            <w:r>
              <w:rPr>
                <w:sz w:val="18"/>
              </w:rPr>
              <w:t>The use of artificial intelligence (AI) in working environments with individuals, known as Human-AI Collaboration (HAIC), has become essential in a variety of domains, boosting decision-making, efficiency, and innovation.</w:t>
            </w:r>
          </w:p>
        </w:tc>
        <w:tc>
          <w:tcPr>
            <w:tcW w:type="dxa" w:w="1872"/>
          </w:tcPr>
          <w:p>
            <w:pPr>
              <w:bidi/>
              <w:jc w:val="start"/>
            </w:pPr>
            <w:r>
              <w:rPr>
                <w:rtl/>
              </w:rPr>
            </w:r>
            <w:r>
              <w:rPr>
                <w:sz w:val="18"/>
                <w:rtl/>
              </w:rPr>
              <w:t>רקע / הקשר</w:t>
            </w:r>
          </w:p>
        </w:tc>
        <w:tc>
          <w:tcPr>
            <w:tcW w:type="dxa" w:w="1872"/>
          </w:tcPr>
          <w:p>
            <w:pPr>
              <w:bidi w:val="0"/>
              <w:jc w:val="start"/>
            </w:pPr>
            <w:r/>
            <w:r>
              <w:rPr>
                <w:sz w:val="18"/>
              </w:rPr>
              <w:t>arXiv (Cornell University)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S58</w:t>
            </w:r>
          </w:p>
        </w:tc>
        <w:tc>
          <w:tcPr>
            <w:tcW w:type="dxa" w:w="3744"/>
            <w:shd w:val="clear" w:color="auto" w:fill="FFF5EB"/>
          </w:tcPr>
          <w:p>
            <w:pPr>
              <w:bidi w:val="0"/>
              <w:jc w:val="start"/>
            </w:pPr>
            <w:r/>
            <w:r>
              <w:rPr>
                <w:sz w:val="18"/>
              </w:rPr>
              <w:t>Abstract ChatGPT has emerged as a significant subject of research and exploration, casting a critical spotlight on teaching and learning practices in the higher education domain.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Education and Information Technologies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S59</w:t>
            </w:r>
          </w:p>
        </w:tc>
        <w:tc>
          <w:tcPr>
            <w:tcW w:type="dxa" w:w="3744"/>
          </w:tcPr>
          <w:p>
            <w:pPr>
              <w:bidi w:val="0"/>
              <w:jc w:val="start"/>
            </w:pPr>
            <w:r/>
            <w:r>
              <w:rPr>
                <w:sz w:val="18"/>
              </w:rPr>
              <w:t>Significant documents of record recently produced and dealing with cultural property, heritage and related issues will be printed annually in the final issue (No. 4) of each numbered volume.</w:t>
            </w:r>
          </w:p>
        </w:tc>
        <w:tc>
          <w:tcPr>
            <w:tcW w:type="dxa" w:w="1872"/>
          </w:tcPr>
          <w:p>
            <w:pPr>
              <w:bidi/>
              <w:jc w:val="start"/>
            </w:pPr>
            <w:r>
              <w:rPr>
                <w:rtl/>
              </w:rPr>
            </w:r>
            <w:r>
              <w:rPr>
                <w:sz w:val="18"/>
                <w:rtl/>
              </w:rPr>
              <w:t>רקע / הקשר</w:t>
            </w:r>
          </w:p>
        </w:tc>
        <w:tc>
          <w:tcPr>
            <w:tcW w:type="dxa" w:w="1872"/>
          </w:tcPr>
          <w:p>
            <w:pPr>
              <w:bidi w:val="0"/>
              <w:jc w:val="start"/>
            </w:pPr>
            <w:r/>
            <w:r>
              <w:rPr>
                <w:sz w:val="18"/>
              </w:rPr>
              <w:t>International Journal of Cultural Property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S60</w:t>
            </w:r>
          </w:p>
        </w:tc>
        <w:tc>
          <w:tcPr>
            <w:tcW w:type="dxa" w:w="3744"/>
            <w:shd w:val="clear" w:color="auto" w:fill="FFF5EB"/>
          </w:tcPr>
          <w:p>
            <w:pPr>
              <w:bidi w:val="0"/>
              <w:jc w:val="start"/>
            </w:pPr>
            <w:r/>
            <w:r>
              <w:rPr>
                <w:sz w:val="18"/>
              </w:rPr>
              <w:t>In this Article, we contend that this latter phenomenon poses a more immediate and pervasive threat to basic scientific research methods today than the still controversial claims about thickets of rights and anticommons effects attributed to excesses of the…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Minnesota law review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S61</w:t>
            </w:r>
          </w:p>
        </w:tc>
        <w:tc>
          <w:tcPr>
            <w:tcW w:type="dxa" w:w="3744"/>
          </w:tcPr>
          <w:p>
            <w:pPr>
              <w:bidi w:val="0"/>
              <w:jc w:val="start"/>
            </w:pPr>
            <w:r/>
            <w:r>
              <w:rPr>
                <w:sz w:val="18"/>
              </w:rPr>
              <w:t>The integration of generative AI into creative industries is reshaping how content is produced, evaluated, and distributed. While recent advancements offer new opportunities for automation and innovation, they also raise questions about authorship,…</w:t>
            </w:r>
          </w:p>
        </w:tc>
        <w:tc>
          <w:tcPr>
            <w:tcW w:type="dxa" w:w="1872"/>
          </w:tcPr>
          <w:p>
            <w:pPr>
              <w:bidi/>
              <w:jc w:val="start"/>
            </w:pPr>
            <w:r>
              <w:rPr>
                <w:rtl/>
              </w:rPr>
            </w:r>
            <w:r>
              <w:rPr>
                <w:sz w:val="18"/>
                <w:rtl/>
              </w:rPr>
              <w:t>רקע / הקשר</w:t>
            </w:r>
          </w:p>
        </w:tc>
        <w:tc>
          <w:tcPr>
            <w:tcW w:type="dxa" w:w="1872"/>
          </w:tcPr>
          <w:p>
            <w:pPr>
              <w:bidi w:val="0"/>
              <w:jc w:val="start"/>
            </w:pPr>
            <w:r/>
            <w:r>
              <w:rPr>
                <w:sz w:val="18"/>
              </w:rPr>
              <w:t>Systems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S62</w:t>
            </w:r>
          </w:p>
        </w:tc>
        <w:tc>
          <w:tcPr>
            <w:tcW w:type="dxa" w:w="3744"/>
            <w:shd w:val="clear" w:color="auto" w:fill="FFF5EB"/>
          </w:tcPr>
          <w:p>
            <w:pPr>
              <w:bidi w:val="0"/>
              <w:jc w:val="start"/>
            </w:pPr>
            <w:r/>
            <w:r>
              <w:rPr>
                <w:sz w:val="18"/>
              </w:rPr>
              <w:t>This paper is intended as a starting point for discussion on the possible future of scientific communication in chemistry, the value of new models of scientific communication enabled by web based technologies, and the necessary future steps to achieve the…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eCommons (Cornell University)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S63</w:t>
            </w:r>
          </w:p>
        </w:tc>
        <w:tc>
          <w:tcPr>
            <w:tcW w:type="dxa" w:w="3744"/>
          </w:tcPr>
          <w:p>
            <w:pPr>
              <w:bidi w:val="0"/>
              <w:jc w:val="start"/>
            </w:pPr>
            <w:r/>
            <w:r>
              <w:rPr>
                <w:sz w:val="18"/>
              </w:rPr>
              <w:t>In this article, we will describe the uneven conditions in which dance practices are being extracted and circulated by looking at how online gaming platforms have digitised and commodified human movement.</w:t>
            </w:r>
          </w:p>
        </w:tc>
        <w:tc>
          <w:tcPr>
            <w:tcW w:type="dxa" w:w="1872"/>
          </w:tcPr>
          <w:p>
            <w:pPr>
              <w:bidi/>
              <w:jc w:val="start"/>
            </w:pPr>
            <w:r>
              <w:rPr>
                <w:rtl/>
              </w:rPr>
            </w:r>
            <w:r>
              <w:rPr>
                <w:sz w:val="18"/>
                <w:rtl/>
              </w:rPr>
              <w:t>רקע / הקשר</w:t>
            </w:r>
          </w:p>
        </w:tc>
        <w:tc>
          <w:tcPr>
            <w:tcW w:type="dxa" w:w="1872"/>
          </w:tcPr>
          <w:p>
            <w:pPr>
              <w:bidi w:val="0"/>
              <w:jc w:val="start"/>
            </w:pPr>
            <w:r/>
            <w:r>
              <w:rPr>
                <w:sz w:val="18"/>
              </w:rPr>
              <w:t>Dance Articulated</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S64</w:t>
            </w:r>
          </w:p>
        </w:tc>
        <w:tc>
          <w:tcPr>
            <w:tcW w:type="dxa" w:w="3744"/>
            <w:shd w:val="clear" w:color="auto" w:fill="FFF5EB"/>
          </w:tcPr>
          <w:p>
            <w:pPr>
              <w:bidi w:val="0"/>
              <w:jc w:val="start"/>
            </w:pPr>
            <w:r/>
            <w:r>
              <w:rPr>
                <w:sz w:val="18"/>
              </w:rPr>
              <w:t>Good research data management is a crucial foundation&lt;br/&gt;of transparent, trustworthy research. Therefore, research&lt;br/&gt;institutions, funding agencies, scientific journals and policymakers – led by the European Commission – have been&lt;br/&gt;investing…</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S65</w:t>
            </w:r>
          </w:p>
        </w:tc>
        <w:tc>
          <w:tcPr>
            <w:tcW w:type="dxa" w:w="3744"/>
          </w:tcPr>
          <w:p>
            <w:pPr>
              <w:bidi w:val="0"/>
              <w:jc w:val="start"/>
            </w:pPr>
            <w:r/>
            <w:r>
              <w:rPr>
                <w:sz w:val="18"/>
              </w:rPr>
              <w:t>&lt;JATS1:p&gt;In the aftermath of the MeToo movement, during an ongoing pandemic, and in the midst of repeated demands for a 50/50 split between men and women in above-the-line positions, this book analyzes and interrogates the politics of gender focusing on the…</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S66</w:t>
            </w:r>
          </w:p>
        </w:tc>
        <w:tc>
          <w:tcPr>
            <w:tcW w:type="dxa" w:w="3744"/>
            <w:shd w:val="clear" w:color="auto" w:fill="FFF5EB"/>
          </w:tcPr>
          <w:p>
            <w:pPr>
              <w:bidi w:val="0"/>
              <w:jc w:val="start"/>
            </w:pPr>
            <w:r/>
            <w:r>
              <w:rPr>
                <w:sz w:val="18"/>
              </w:rPr>
              <w:t>This dissertation presents an inquiry into the roles played by persistent, shared external representations in design collaboration. It advances an understanding of the active participation of these representations—including drawings, models and prototypes—in…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Archive of research processes and output produced by RCA (Royal College of Art)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S67</w:t>
            </w:r>
          </w:p>
        </w:tc>
        <w:tc>
          <w:tcPr>
            <w:tcW w:type="dxa" w:w="3744"/>
          </w:tcPr>
          <w:p>
            <w:pPr>
              <w:bidi w:val="0"/>
              <w:jc w:val="start"/>
            </w:pPr>
            <w:r/>
            <w:r>
              <w:rPr>
                <w:sz w:val="18"/>
              </w:rPr>
              <w:t>More than three centuries ago, Thomas Brown, a graduate of Oxford, wrote about the debt-ridden fate of London hack writers. Patron-less, they wrote for money.</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S68</w:t>
            </w:r>
          </w:p>
        </w:tc>
        <w:tc>
          <w:tcPr>
            <w:tcW w:type="dxa" w:w="3744"/>
            <w:shd w:val="clear" w:color="auto" w:fill="FFF5EB"/>
          </w:tcPr>
          <w:p>
            <w:pPr>
              <w:bidi w:val="0"/>
              <w:jc w:val="start"/>
            </w:pPr>
            <w:r/>
            <w:r>
              <w:rPr>
                <w:sz w:val="18"/>
              </w:rPr>
              <w:t>This thesis provides an insight into the current position of moral rights of authors and outlines the perspectives of the doctrine of moral rights in international copyright regime of the 21st century.</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cIRcle (University of British Columbia)</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S69</w:t>
            </w:r>
          </w:p>
        </w:tc>
        <w:tc>
          <w:tcPr>
            <w:tcW w:type="dxa" w:w="3744"/>
          </w:tcPr>
          <w:p>
            <w:pPr>
              <w:bidi w:val="0"/>
              <w:jc w:val="start"/>
            </w:pPr>
            <w:r/>
            <w:r>
              <w:rPr>
                <w:sz w:val="18"/>
              </w:rPr>
              <w:t>Barry Turner’s 1978 Man-made Disasters and Charles Perrow’s 1984 Normal Accidents were seminal books but a detailed comparison has yet to be undertaken. Doing so is important to establish content and priority of key ideas underpinning contemporary safety…</w:t>
            </w:r>
          </w:p>
        </w:tc>
        <w:tc>
          <w:tcPr>
            <w:tcW w:type="dxa" w:w="1872"/>
          </w:tcPr>
          <w:p>
            <w:pPr>
              <w:bidi/>
              <w:jc w:val="start"/>
            </w:pPr>
            <w:r>
              <w:rPr>
                <w:rtl/>
              </w:rPr>
            </w:r>
            <w:r>
              <w:rPr>
                <w:sz w:val="18"/>
                <w:rtl/>
              </w:rPr>
              <w:t>רקע / הקשר</w:t>
            </w:r>
          </w:p>
        </w:tc>
        <w:tc>
          <w:tcPr>
            <w:tcW w:type="dxa" w:w="1872"/>
          </w:tcPr>
          <w:p>
            <w:pPr>
              <w:bidi w:val="0"/>
              <w:jc w:val="start"/>
            </w:pPr>
            <w:r/>
            <w:r>
              <w:rPr>
                <w:sz w:val="18"/>
              </w:rPr>
              <w:t>Safety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S70</w:t>
            </w:r>
          </w:p>
        </w:tc>
        <w:tc>
          <w:tcPr>
            <w:tcW w:type="dxa" w:w="3744"/>
            <w:shd w:val="clear" w:color="auto" w:fill="FFF5EB"/>
          </w:tcPr>
          <w:p>
            <w:pPr>
              <w:bidi w:val="0"/>
              <w:jc w:val="start"/>
            </w:pPr>
            <w:r/>
            <w:r>
              <w:rPr>
                <w:sz w:val="18"/>
              </w:rPr>
              <w:t>EDITORIAL NOTE Zamfara International Journal of Education (ZIJE) is the official Journal of the Faculty of Education, Federal University Gusau Zamfara State, Nigeria. The Journal publishes articles of diverse fields of interest in Education.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Federal University Gusau Faculty of Education Journal</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S71</w:t>
            </w:r>
          </w:p>
        </w:tc>
        <w:tc>
          <w:tcPr>
            <w:tcW w:type="dxa" w:w="3744"/>
          </w:tcPr>
          <w:p>
            <w:pPr>
              <w:bidi w:val="0"/>
              <w:jc w:val="start"/>
            </w:pPr>
            <w:r/>
            <w:r>
              <w:rPr>
                <w:sz w:val="18"/>
              </w:rPr>
              <w:t>Certainly until 2009, when Infopaq was decided, and possibly until 2012, when the CJEU handed down its decision in Football Dataco, the unanimous opinion was that in the UK a work is “original” for copyright purposes if it is the result of its author’s own…</w:t>
            </w:r>
          </w:p>
        </w:tc>
        <w:tc>
          <w:tcPr>
            <w:tcW w:type="dxa" w:w="1872"/>
          </w:tcPr>
          <w:p>
            <w:pPr>
              <w:bidi/>
              <w:jc w:val="start"/>
            </w:pPr>
            <w:r>
              <w:rPr>
                <w:rtl/>
              </w:rPr>
            </w:r>
            <w:r>
              <w:rPr>
                <w:sz w:val="18"/>
                <w:rtl/>
              </w:rPr>
              <w:t>רקע / הקשר</w:t>
            </w:r>
          </w:p>
        </w:tc>
        <w:tc>
          <w:tcPr>
            <w:tcW w:type="dxa" w:w="1872"/>
          </w:tcPr>
          <w:p>
            <w:pPr>
              <w:bidi w:val="0"/>
              <w:jc w:val="start"/>
            </w:pPr>
            <w:r/>
            <w:r>
              <w:rPr>
                <w:sz w:val="18"/>
              </w:rPr>
              <w:t>GRURRR. Gewerblicher Rechtsschutz und Urheberrecht, Rechtsprechungs-Report/GRUR-DVD/GRUR-CD/IIC/Gewerblicher Rechtsschutz und Urheberrecht/Gewerblicher Rechtsschutz und Urheberrecht. Internationaler Teil</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S72</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Archives and Museum Informatics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S73</w:t>
            </w:r>
          </w:p>
        </w:tc>
        <w:tc>
          <w:tcPr>
            <w:tcW w:type="dxa" w:w="3744"/>
          </w:tcPr>
          <w:p>
            <w:pPr>
              <w:bidi w:val="0"/>
              <w:jc w:val="start"/>
            </w:pPr>
            <w:r/>
            <w:r>
              <w:rPr>
                <w:sz w:val="18"/>
              </w:rPr>
              <w:t>This book is a timely response to a rather urgent call to seek an updated methodology in rereading and reappraising early Chinese texts in light of newly discovered early writings.</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S74</w:t>
            </w:r>
          </w:p>
        </w:tc>
        <w:tc>
          <w:tcPr>
            <w:tcW w:type="dxa" w:w="3744"/>
            <w:shd w:val="clear" w:color="auto" w:fill="FFF5EB"/>
          </w:tcPr>
          <w:p>
            <w:pPr>
              <w:bidi w:val="0"/>
              <w:jc w:val="start"/>
            </w:pPr>
            <w:r/>
            <w:r>
              <w:rPr>
                <w:sz w:val="18"/>
              </w:rPr>
              <w:t>Offering a significant contribution to the growing debate on how digitization is shaping our collective identity, this far-reaching, multidisciplinary collection investigates how the digital medium has altered the way we read and write text.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Open Book Publishers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S75</w:t>
            </w:r>
          </w:p>
        </w:tc>
        <w:tc>
          <w:tcPr>
            <w:tcW w:type="dxa" w:w="3744"/>
          </w:tcPr>
          <w:p>
            <w:pPr>
              <w:bidi w:val="0"/>
              <w:jc w:val="start"/>
            </w:pPr>
            <w:r/>
            <w:r>
              <w:rPr>
                <w:sz w:val="18"/>
              </w:rPr>
              <w:t>Abstract Luciano Floridi’s concept of distant writing – which is the textual production mediated by generative AI – has presented us with a challenge to traditional accounts of authorship and epistemic agency.</w:t>
            </w:r>
          </w:p>
        </w:tc>
        <w:tc>
          <w:tcPr>
            <w:tcW w:type="dxa" w:w="1872"/>
          </w:tcPr>
          <w:p>
            <w:pPr>
              <w:bidi/>
              <w:jc w:val="start"/>
            </w:pPr>
            <w:r>
              <w:rPr>
                <w:rtl/>
              </w:rPr>
            </w:r>
            <w:r>
              <w:rPr>
                <w:sz w:val="18"/>
                <w:rtl/>
              </w:rPr>
              <w:t>רקע / הקשר</w:t>
            </w:r>
          </w:p>
        </w:tc>
        <w:tc>
          <w:tcPr>
            <w:tcW w:type="dxa" w:w="1872"/>
          </w:tcPr>
          <w:p>
            <w:pPr>
              <w:bidi w:val="0"/>
              <w:jc w:val="start"/>
            </w:pPr>
            <w:r/>
            <w:r>
              <w:rPr>
                <w:sz w:val="18"/>
              </w:rPr>
              <w:t>Philosophy &amp; Technology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S76</w:t>
            </w:r>
          </w:p>
        </w:tc>
        <w:tc>
          <w:tcPr>
            <w:tcW w:type="dxa" w:w="3744"/>
            <w:shd w:val="clear" w:color="auto" w:fill="FFF5EB"/>
          </w:tcPr>
          <w:p>
            <w:pPr>
              <w:bidi w:val="0"/>
              <w:jc w:val="start"/>
            </w:pPr>
            <w:r/>
            <w:r>
              <w:rPr>
                <w:sz w:val="18"/>
              </w:rPr>
              <w:t>Installation art has become mainstream in artistic practices. However, acquiring and displaying such artworks implies that curators and conservators are challenged to deal with obsolete technologies, ephemeral materials and other issues concerning care and…</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OAPEN (The OAPEN Foundation)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S77</w:t>
            </w:r>
          </w:p>
        </w:tc>
        <w:tc>
          <w:tcPr>
            <w:tcW w:type="dxa" w:w="3744"/>
          </w:tcPr>
          <w:p>
            <w:pPr>
              <w:bidi w:val="0"/>
              <w:jc w:val="start"/>
            </w:pPr>
            <w:r/>
            <w:r>
              <w:rPr>
                <w:sz w:val="18"/>
              </w:rPr>
              <w:t>Despite the immensity of genre studies as well as studies in interpretation, our understanding of the relationship between genre and interpretation is sketchy at best.</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S78</w:t>
            </w:r>
          </w:p>
        </w:tc>
        <w:tc>
          <w:tcPr>
            <w:tcW w:type="dxa" w:w="3744"/>
            <w:shd w:val="clear" w:color="auto" w:fill="FFF5EB"/>
          </w:tcPr>
          <w:p>
            <w:pPr>
              <w:bidi w:val="0"/>
              <w:jc w:val="start"/>
            </w:pPr>
            <w:r/>
            <w:r>
              <w:rPr>
                <w:sz w:val="18"/>
              </w:rPr>
              <w:t>Sign Here! Handwriting in the Age of New Media features a number of articles from different fields, reaching from cultural and media studies to literature, film and art, and from philosophy and information studies to law and archival studies.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Amsterdam University Press eBooks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S79</w:t>
            </w:r>
          </w:p>
        </w:tc>
        <w:tc>
          <w:tcPr>
            <w:tcW w:type="dxa" w:w="3744"/>
          </w:tcPr>
          <w:p>
            <w:pPr>
              <w:bidi w:val="0"/>
              <w:jc w:val="start"/>
            </w:pPr>
            <w:r/>
            <w:r>
              <w:rPr>
                <w:sz w:val="18"/>
              </w:rPr>
              <w:t>The emergence of free and open source software (FOSS) has posed many challenges to the mainstream proprietary software production model. This dissertation endeavours to address these challenges through tackling the following legal problem: how does FOSS…</w:t>
            </w:r>
          </w:p>
        </w:tc>
        <w:tc>
          <w:tcPr>
            <w:tcW w:type="dxa" w:w="1872"/>
          </w:tcPr>
          <w:p>
            <w:pPr>
              <w:bidi/>
              <w:jc w:val="start"/>
            </w:pPr>
            <w:r>
              <w:rPr>
                <w:rtl/>
              </w:rPr>
            </w:r>
            <w:r>
              <w:rPr>
                <w:sz w:val="18"/>
                <w:rtl/>
              </w:rPr>
              <w:t>רקע / הקשר</w:t>
            </w:r>
          </w:p>
        </w:tc>
        <w:tc>
          <w:tcPr>
            <w:tcW w:type="dxa" w:w="1872"/>
          </w:tcPr>
          <w:p>
            <w:pPr>
              <w:bidi w:val="0"/>
              <w:jc w:val="start"/>
            </w:pPr>
            <w:r/>
            <w:r>
              <w:rPr>
                <w:sz w:val="18"/>
              </w:rPr>
              <w:t>London School of Economics and Political Science Research Online (London School of Economics and Political Science)</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S80</w:t>
            </w:r>
          </w:p>
        </w:tc>
        <w:tc>
          <w:tcPr>
            <w:tcW w:type="dxa" w:w="3744"/>
            <w:shd w:val="clear" w:color="auto" w:fill="FFF5EB"/>
          </w:tcPr>
          <w:p>
            <w:pPr>
              <w:bidi w:val="0"/>
              <w:jc w:val="start"/>
            </w:pPr>
            <w:r/>
            <w:r>
              <w:rPr>
                <w:sz w:val="18"/>
              </w:rPr>
              <w:t>SPELL (Swiss Papers in English Language and Literature) is a publication of SAUTE, the Swiss Association of University Teachers of English.Established in 1984, it first appeared every second year, was published annually from 1994 to 2008 and has since…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Swiss Papers in English Language and Literature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S81</w:t>
            </w:r>
          </w:p>
        </w:tc>
        <w:tc>
          <w:tcPr>
            <w:tcW w:type="dxa" w:w="3744"/>
          </w:tcPr>
          <w:p>
            <w:pPr>
              <w:bidi w:val="0"/>
              <w:jc w:val="start"/>
            </w:pPr>
            <w:r/>
            <w:r>
              <w:rPr>
                <w:sz w:val="18"/>
              </w:rPr>
              <w:t>Abstract</w:t>
              <w:br/>
              <w:t xml:space="preserve">        This paper aims to explore whether cross-linguistic authorship attribution and author's gender identification are feasible using Machine Translation (MT) as a method to bridge the language gap.</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S82</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The Author in Middle Byzantine Literature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S83</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New Writing</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S84</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Richer of Saint-Remi</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S85</w:t>
            </w:r>
          </w:p>
        </w:tc>
        <w:tc>
          <w:tcPr>
            <w:tcW w:type="dxa" w:w="3744"/>
          </w:tcPr>
          <w:p>
            <w:pPr>
              <w:bidi w:val="0"/>
              <w:jc w:val="start"/>
            </w:pPr>
            <w:r/>
            <w:r>
              <w:rPr>
                <w:sz w:val="18"/>
              </w:rPr>
              <w:t>Copyright law has always rested on a simple premise: creative works have authors, and authors are human beings. Generative artificial intelligence has broken that premise.</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S86</w:t>
            </w:r>
          </w:p>
        </w:tc>
        <w:tc>
          <w:tcPr>
            <w:tcW w:type="dxa" w:w="3744"/>
            <w:shd w:val="clear" w:color="auto" w:fill="FFF5EB"/>
          </w:tcPr>
          <w:p>
            <w:pPr>
              <w:bidi w:val="0"/>
              <w:jc w:val="start"/>
            </w:pPr>
            <w:r/>
            <w:r>
              <w:rPr>
                <w:sz w:val="18"/>
              </w:rPr>
              <w:t>Generative AI has emerged as a transformative force in cybersecurity, offering both opportunities for innovation and challenges in threat detection and mitigation.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S87</w:t>
            </w:r>
          </w:p>
        </w:tc>
        <w:tc>
          <w:tcPr>
            <w:tcW w:type="dxa" w:w="3744"/>
          </w:tcPr>
          <w:p>
            <w:pPr>
              <w:bidi w:val="0"/>
              <w:jc w:val="start"/>
            </w:pPr>
            <w:r/>
            <w:r>
              <w:rPr>
                <w:sz w:val="18"/>
              </w:rPr>
              <w:t>Abstract</w:t>
              <w:br/>
              <w:t xml:space="preserve">        A systematic review and meta-analysis of survey research was conducted to estimate honorary authorship prevalence in health sciences. We searched PubMed, Lens.org, and Dimensions.ai. until January 5 2023.</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S88</w:t>
            </w:r>
          </w:p>
        </w:tc>
        <w:tc>
          <w:tcPr>
            <w:tcW w:type="dxa" w:w="3744"/>
            <w:shd w:val="clear" w:color="auto" w:fill="FFF5EB"/>
          </w:tcPr>
          <w:p>
            <w:pPr>
              <w:bidi w:val="0"/>
              <w:jc w:val="start"/>
            </w:pPr>
            <w:r/>
            <w:r>
              <w:rPr>
                <w:sz w:val="18"/>
              </w:rPr>
              <w:t>Since 2020, generative artificial intelligence (GenAI) systems have increasingly functioned as co-authors within creative practice, reshaping established understandings of authorship, originality, and aesthetics.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IDOSR JOURNAL OF ARTS AND HUMANITIES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S89</w:t>
            </w:r>
          </w:p>
        </w:tc>
        <w:tc>
          <w:tcPr>
            <w:tcW w:type="dxa" w:w="3744"/>
          </w:tcPr>
          <w:p>
            <w:pPr>
              <w:bidi w:val="0"/>
              <w:jc w:val="start"/>
            </w:pPr>
            <w:r/>
            <w:r>
              <w:rPr>
                <w:sz w:val="18"/>
              </w:rPr>
              <w:t>Abstract</w:t>
              <w:br/>
              <w:t xml:space="preserve">        Authorship attribution means automatically determining the authorship of an unrecognize document based on a given sample of text. Authorship attribution has a long history and a wide range of applications.</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S90</w:t>
            </w:r>
          </w:p>
        </w:tc>
        <w:tc>
          <w:tcPr>
            <w:tcW w:type="dxa" w:w="3744"/>
            <w:shd w:val="clear" w:color="auto" w:fill="FFF5EB"/>
          </w:tcPr>
          <w:p>
            <w:pPr>
              <w:bidi w:val="0"/>
              <w:jc w:val="start"/>
            </w:pPr>
            <w:r/>
            <w:r>
              <w:rPr>
                <w:sz w:val="18"/>
              </w:rPr>
              <w:t>The period spanning 2020 to 2026 represents the most volatile and transformative era in the history of written communication and pedagogy. This systemic shift, driven by the rapid evolution of artificial intelligence, transitioned from early automated…</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SSRN Electronic Journal</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S91</w:t>
            </w:r>
          </w:p>
        </w:tc>
        <w:tc>
          <w:tcPr>
            <w:tcW w:type="dxa" w:w="3744"/>
          </w:tcPr>
          <w:p>
            <w:pPr>
              <w:bidi w:val="0"/>
              <w:jc w:val="start"/>
            </w:pPr>
            <w:r/>
            <w:r>
              <w:rPr>
                <w:sz w:val="18"/>
              </w:rPr>
              <w:t>Debates over generative AI often ask whether texts produced with large language models are "really" authored by the human user. These debates typically assume that authorship resides in the production of linguistic tokens.</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S92</w:t>
            </w:r>
          </w:p>
        </w:tc>
        <w:tc>
          <w:tcPr>
            <w:tcW w:type="dxa" w:w="3744"/>
            <w:shd w:val="clear" w:color="auto" w:fill="FFF5EB"/>
          </w:tcPr>
          <w:p>
            <w:pPr>
              <w:bidi w:val="0"/>
              <w:jc w:val="start"/>
            </w:pPr>
            <w:r/>
            <w:r>
              <w:rPr>
                <w:sz w:val="18"/>
              </w:rPr>
              <w:t>&amp;lt;div&amp;gt;</w:t>
              <w:br/>
              <w:t xml:space="preserve"> Recent research on generative artificial intelligence has primarily focused on two separate issues: (1) the attribution of copyright authorship and ownership, and (2) the allocation of liability for harms resulting from artificial intelligence…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SSRN Electronic Journal</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S93</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S94</w:t>
            </w:r>
          </w:p>
        </w:tc>
        <w:tc>
          <w:tcPr>
            <w:tcW w:type="dxa" w:w="3744"/>
            <w:shd w:val="clear" w:color="auto" w:fill="FFF5EB"/>
          </w:tcPr>
          <w:p>
            <w:pPr>
              <w:bidi w:val="0"/>
              <w:jc w:val="start"/>
            </w:pPr>
            <w:r/>
            <w:r>
              <w:rPr>
                <w:sz w:val="18"/>
              </w:rPr>
              <w:t>The question of whether generative AI output can be copyrighted is among the most consequential unresolved issues in intellectual property law. Two federal cases, Thaler v.</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S95</w:t>
            </w:r>
          </w:p>
        </w:tc>
        <w:tc>
          <w:tcPr>
            <w:tcW w:type="dxa" w:w="3744"/>
          </w:tcPr>
          <w:p>
            <w:pPr>
              <w:bidi w:val="0"/>
              <w:jc w:val="start"/>
            </w:pPr>
            <w:r/>
            <w:r>
              <w:rPr>
                <w:sz w:val="18"/>
              </w:rPr>
              <w:t>&amp;lt;div&amp;gt;</w:t>
              <w:br/>
              <w:t xml:space="preserve"> &amp;lt;span&amp;gt;This article examines the copyright status of AI-generated content with particular focus on authorship and the threshold of protectability from a comparative law perspective.</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S96</w:t>
            </w:r>
          </w:p>
        </w:tc>
        <w:tc>
          <w:tcPr>
            <w:tcW w:type="dxa" w:w="3744"/>
            <w:shd w:val="clear" w:color="auto" w:fill="FFF5EB"/>
          </w:tcPr>
          <w:p>
            <w:pPr>
              <w:bidi w:val="0"/>
              <w:jc w:val="start"/>
            </w:pPr>
            <w:r/>
            <w:r>
              <w:rPr>
                <w:sz w:val="18"/>
              </w:rPr>
              <w:t>This article proposes a performative model of authorship, based on the historical alternation between predominantly 'weak' and 'strong' author concepts and related practices of writing, publication and reading.</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Ghent University Academic Bibliography (Ghent University)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S97</w:t>
            </w:r>
          </w:p>
        </w:tc>
        <w:tc>
          <w:tcPr>
            <w:tcW w:type="dxa" w:w="3744"/>
          </w:tcPr>
          <w:p>
            <w:pPr>
              <w:bidi w:val="0"/>
              <w:jc w:val="start"/>
            </w:pPr>
            <w:r/>
            <w:r>
              <w:rPr>
                <w:sz w:val="18"/>
              </w:rPr>
              <w:t>The emergence of advanced artificial intelligence (AI), including large language models (LLMs) and multimodal generative AI, has transformed human communication by enabling the autonomous creation of original content of the information/message(s).</w:t>
            </w:r>
          </w:p>
        </w:tc>
        <w:tc>
          <w:tcPr>
            <w:tcW w:type="dxa" w:w="1872"/>
          </w:tcPr>
          <w:p>
            <w:pPr>
              <w:bidi/>
              <w:jc w:val="start"/>
            </w:pPr>
            <w:r>
              <w:rPr>
                <w:rtl/>
              </w:rPr>
            </w:r>
            <w:r>
              <w:rPr>
                <w:sz w:val="18"/>
                <w:rtl/>
              </w:rPr>
              <w:t>רקע / הקשר</w:t>
            </w:r>
          </w:p>
        </w:tc>
        <w:tc>
          <w:tcPr>
            <w:tcW w:type="dxa" w:w="1872"/>
          </w:tcPr>
          <w:p>
            <w:pPr>
              <w:bidi w:val="0"/>
              <w:jc w:val="start"/>
            </w:pPr>
            <w:r/>
            <w:r>
              <w:rPr>
                <w:sz w:val="18"/>
              </w:rPr>
              <w: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S98</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S99</w:t>
            </w:r>
          </w:p>
        </w:tc>
        <w:tc>
          <w:tcPr>
            <w:tcW w:type="dxa" w:w="3744"/>
          </w:tcPr>
          <w:p>
            <w:pPr>
              <w:bidi w:val="0"/>
              <w:jc w:val="start"/>
            </w:pPr>
            <w:r/>
            <w:r>
              <w:rPr>
                <w:sz w:val="18"/>
              </w:rPr>
              <w:t>This collection is a timely intervention in national debates about what constitutes original or plagiarized writing in the digital age. Somewhat ironically, the Internet makes it both easier to copy and easier to detect copying.</w:t>
            </w:r>
          </w:p>
        </w:tc>
        <w:tc>
          <w:tcPr>
            <w:tcW w:type="dxa" w:w="1872"/>
          </w:tcPr>
          <w:p>
            <w:pPr>
              <w:bidi/>
              <w:jc w:val="start"/>
            </w:pPr>
            <w:r>
              <w:rPr>
                <w:rtl/>
              </w:rPr>
            </w:r>
            <w:r>
              <w:rPr>
                <w:sz w:val="18"/>
                <w:rtl/>
              </w:rPr>
              <w:t>רקע / הקשר</w:t>
            </w:r>
          </w:p>
        </w:tc>
        <w:tc>
          <w:tcPr>
            <w:tcW w:type="dxa" w:w="1872"/>
          </w:tcPr>
          <w:p>
            <w:pPr>
              <w:bidi w:val="0"/>
              <w:jc w:val="start"/>
            </w:pPr>
            <w:r/>
            <w:r>
              <w:rPr>
                <w:sz w:val="18"/>
              </w:rPr>
              <w:t>Choice Reviews Online</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S100</w:t>
            </w:r>
          </w:p>
        </w:tc>
        <w:tc>
          <w:tcPr>
            <w:tcW w:type="dxa" w:w="3744"/>
            <w:shd w:val="clear" w:color="auto" w:fill="FFF5EB"/>
          </w:tcPr>
          <w:p>
            <w:pPr>
              <w:bidi w:val="0"/>
              <w:jc w:val="start"/>
            </w:pPr>
            <w:r/>
            <w:r>
              <w:rPr>
                <w:sz w:val="18"/>
              </w:rPr>
              <w:t>Can computers be creative? Is algorithmic art just a form of Candy Crush? Cutting through the smoke and mirrors surrounding computation, robotics and artificial intelligence, Joanna Zylinska argues that, to understand the promise of AI for the creative…</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Goldsmiths (University of London)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S101</w:t>
            </w:r>
          </w:p>
        </w:tc>
        <w:tc>
          <w:tcPr>
            <w:tcW w:type="dxa" w:w="3744"/>
          </w:tcPr>
          <w:p>
            <w:pPr>
              <w:bidi w:val="0"/>
              <w:jc w:val="start"/>
            </w:pPr>
            <w:r/>
            <w:r>
              <w:rPr>
                <w:sz w:val="18"/>
              </w:rPr>
              <w:t>• Generative AI's role in creative production is accelerating, demanding new interaction models between humans and machines. • The authors explore human-AI creative production with ChatGPT and analyse outputs using the concept of alterity relations.</w:t>
            </w:r>
          </w:p>
        </w:tc>
        <w:tc>
          <w:tcPr>
            <w:tcW w:type="dxa" w:w="1872"/>
          </w:tcPr>
          <w:p>
            <w:pPr>
              <w:bidi/>
              <w:jc w:val="start"/>
            </w:pPr>
            <w:r>
              <w:rPr>
                <w:rtl/>
              </w:rPr>
            </w:r>
            <w:r>
              <w:rPr>
                <w:sz w:val="18"/>
                <w:rtl/>
              </w:rPr>
              <w:t>רקע / הקשר</w:t>
            </w:r>
          </w:p>
        </w:tc>
        <w:tc>
          <w:tcPr>
            <w:tcW w:type="dxa" w:w="1872"/>
          </w:tcPr>
          <w:p>
            <w:pPr>
              <w:bidi w:val="0"/>
              <w:jc w:val="start"/>
            </w:pPr>
            <w:r/>
            <w:r>
              <w:rPr>
                <w:sz w:val="18"/>
              </w:rPr>
              <w:t>Thinking Skills and Creativity</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S102</w:t>
            </w:r>
          </w:p>
        </w:tc>
        <w:tc>
          <w:tcPr>
            <w:tcW w:type="dxa" w:w="3744"/>
            <w:shd w:val="clear" w:color="auto" w:fill="FFF5EB"/>
          </w:tcPr>
          <w:p>
            <w:pPr>
              <w:bidi w:val="0"/>
              <w:jc w:val="start"/>
            </w:pPr>
            <w:r/>
            <w:r>
              <w:rPr>
                <w:sz w:val="18"/>
              </w:rPr>
              <w:t>Intention plays a complex role in human utterances. The interpretation of literary texts is a strong case in point: for about two hundred years there have been conflicting views about whether, and how much, authorial intention should matter when professional…</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S103</w:t>
            </w:r>
          </w:p>
        </w:tc>
        <w:tc>
          <w:tcPr>
            <w:tcW w:type="dxa" w:w="3744"/>
          </w:tcPr>
          <w:p>
            <w:pPr>
              <w:bidi w:val="0"/>
              <w:jc w:val="start"/>
            </w:pPr>
            <w:r/>
            <w:r>
              <w:rPr>
                <w:sz w:val="18"/>
              </w:rPr>
              <w:t>Authorship studies has, over the last two decades, absorbed a number of quantitative methods only made possible through the use of computers. The New Oxford Shakespeare Authorship Companion presents a number of studies that utilize such methods, including…</w:t>
            </w:r>
          </w:p>
        </w:tc>
        <w:tc>
          <w:tcPr>
            <w:tcW w:type="dxa" w:w="1872"/>
          </w:tcPr>
          <w:p>
            <w:pPr>
              <w:bidi/>
              <w:jc w:val="start"/>
            </w:pPr>
            <w:r>
              <w:rPr>
                <w:rtl/>
              </w:rPr>
            </w:r>
            <w:r>
              <w:rPr>
                <w:sz w:val="18"/>
                <w:rtl/>
              </w:rPr>
              <w:t>רקע / הקשר</w:t>
            </w:r>
          </w:p>
        </w:tc>
        <w:tc>
          <w:tcPr>
            <w:tcW w:type="dxa" w:w="1872"/>
          </w:tcPr>
          <w:p>
            <w:pPr>
              <w:bidi w:val="0"/>
              <w:jc w:val="start"/>
            </w:pPr>
            <w:r/>
            <w:r>
              <w:rPr>
                <w:sz w:val="18"/>
              </w:rPr>
              <w:t>Authorship</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S104</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Findings of the Association for Computational Linguistics: EMNLP 2025</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S105</w:t>
            </w:r>
          </w:p>
        </w:tc>
        <w:tc>
          <w:tcPr>
            <w:tcW w:type="dxa" w:w="3744"/>
          </w:tcPr>
          <w:p>
            <w:pPr>
              <w:bidi w:val="0"/>
              <w:jc w:val="start"/>
            </w:pPr>
            <w:r/>
            <w:r>
              <w:rPr>
                <w:sz w:val="18"/>
              </w:rPr>
              <w:t>The production of playtexts in early modern England falls between two categories of artistic provenance: textual production in quill and print and oral transmission of the text committed to paper.</w:t>
            </w:r>
          </w:p>
        </w:tc>
        <w:tc>
          <w:tcPr>
            <w:tcW w:type="dxa" w:w="1872"/>
          </w:tcPr>
          <w:p>
            <w:pPr>
              <w:bidi/>
              <w:jc w:val="start"/>
            </w:pPr>
            <w:r>
              <w:rPr>
                <w:rtl/>
              </w:rPr>
            </w:r>
            <w:r>
              <w:rPr>
                <w:sz w:val="18"/>
                <w:rtl/>
              </w:rPr>
              <w:t>רקע / הקשר</w:t>
            </w:r>
          </w:p>
        </w:tc>
        <w:tc>
          <w:tcPr>
            <w:tcW w:type="dxa" w:w="1872"/>
          </w:tcPr>
          <w:p>
            <w:pPr>
              <w:bidi w:val="0"/>
              <w:jc w:val="start"/>
            </w:pPr>
            <w:r/>
            <w:r>
              <w:rPr>
                <w:sz w:val="18"/>
              </w:rPr>
              <w:t>Journal of Early Modern Studies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S106</w:t>
            </w:r>
          </w:p>
        </w:tc>
        <w:tc>
          <w:tcPr>
            <w:tcW w:type="dxa" w:w="3744"/>
            <w:shd w:val="clear" w:color="auto" w:fill="FFF5EB"/>
          </w:tcPr>
          <w:p>
            <w:pPr>
              <w:bidi w:val="0"/>
              <w:jc w:val="start"/>
            </w:pPr>
            <w:r/>
            <w:r>
              <w:rPr>
                <w:sz w:val="18"/>
              </w:rPr>
              <w:t>Generative Artificial Intelligence (Generative AI) has fundamentally transformed the landscape of creative production by enabling the rapid generation of texts, images, music, and other expressive works.</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Jurnal Hukum Progresif</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S107</w:t>
            </w:r>
          </w:p>
        </w:tc>
        <w:tc>
          <w:tcPr>
            <w:tcW w:type="dxa" w:w="3744"/>
          </w:tcPr>
          <w:p>
            <w:pPr>
              <w:bidi w:val="0"/>
              <w:jc w:val="start"/>
            </w:pPr>
            <w:r/>
            <w:r>
              <w:rPr>
                <w:sz w:val="18"/>
              </w:rPr>
              <w:t>This study examines the legal deficiencies in protecting artificial intelligence (AI)-generated educational content within Jordan’s rapidly digitizing environment.</w:t>
            </w:r>
          </w:p>
        </w:tc>
        <w:tc>
          <w:tcPr>
            <w:tcW w:type="dxa" w:w="1872"/>
          </w:tcPr>
          <w:p>
            <w:pPr>
              <w:bidi/>
              <w:jc w:val="start"/>
            </w:pPr>
            <w:r>
              <w:rPr>
                <w:rtl/>
              </w:rPr>
            </w:r>
            <w:r>
              <w:rPr>
                <w:sz w:val="18"/>
                <w:rtl/>
              </w:rPr>
              <w:t>רקע / הקשר</w:t>
            </w:r>
          </w:p>
        </w:tc>
        <w:tc>
          <w:tcPr>
            <w:tcW w:type="dxa" w:w="1872"/>
          </w:tcPr>
          <w:p>
            <w:pPr>
              <w:bidi w:val="0"/>
              <w:jc w:val="start"/>
            </w:pPr>
            <w:r/>
            <w:r>
              <w:rPr>
                <w:sz w:val="18"/>
              </w:rPr>
              <w:t>Frontiers in Human Dynamics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S108</w:t>
            </w:r>
          </w:p>
        </w:tc>
        <w:tc>
          <w:tcPr>
            <w:tcW w:type="dxa" w:w="3744"/>
            <w:shd w:val="clear" w:color="auto" w:fill="FFF5EB"/>
          </w:tcPr>
          <w:p>
            <w:pPr>
              <w:bidi w:val="0"/>
              <w:jc w:val="start"/>
            </w:pPr>
            <w:r/>
            <w:r>
              <w:rPr>
                <w:sz w:val="18"/>
              </w:rPr>
              <w:t>Abstract</w:t>
              <w:br/>
              <w:t xml:space="preserve">                  The advent of generative AI, particularly large language models like ChatGPT, has precipitated a seismic shift in academia. Far from a gradual evolution, its sudden emergence has jolted educational institutions, leaving many…</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AI Magazine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S109</w:t>
            </w:r>
          </w:p>
        </w:tc>
        <w:tc>
          <w:tcPr>
            <w:tcW w:type="dxa" w:w="3744"/>
          </w:tcPr>
          <w:p>
            <w:pPr>
              <w:bidi w:val="0"/>
              <w:jc w:val="start"/>
            </w:pPr>
            <w:r/>
            <w:r>
              <w:rPr>
                <w:sz w:val="18"/>
              </w:rPr>
              <w:t>This thesis examines the intersection of authorship and fiction in artistic practices from the 1980s until the present. Based on a series of examples of imaginary or partially fictional artists who are, nevertheless, able to function as authors in the…</w:t>
            </w:r>
          </w:p>
        </w:tc>
        <w:tc>
          <w:tcPr>
            <w:tcW w:type="dxa" w:w="1872"/>
          </w:tcPr>
          <w:p>
            <w:pPr>
              <w:bidi/>
              <w:jc w:val="start"/>
            </w:pPr>
            <w:r>
              <w:rPr>
                <w:rtl/>
              </w:rPr>
            </w:r>
            <w:r>
              <w:rPr>
                <w:sz w:val="18"/>
                <w:rtl/>
              </w:rPr>
              <w:t>רקע / הקשר</w:t>
            </w:r>
          </w:p>
        </w:tc>
        <w:tc>
          <w:tcPr>
            <w:tcW w:type="dxa" w:w="1872"/>
          </w:tcPr>
          <w:p>
            <w:pPr>
              <w:bidi w:val="0"/>
              <w:jc w:val="start"/>
            </w:pPr>
            <w:r/>
            <w:r>
              <w:rPr>
                <w:sz w:val="18"/>
              </w:rPr>
              <w:t>Archive of research processes and output produced by RCA (Royal College of Art)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S110</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S111</w:t>
            </w:r>
          </w:p>
        </w:tc>
        <w:tc>
          <w:tcPr>
            <w:tcW w:type="dxa" w:w="3744"/>
          </w:tcPr>
          <w:p>
            <w:pPr>
              <w:bidi w:val="0"/>
              <w:jc w:val="start"/>
            </w:pPr>
            <w:r/>
            <w:r>
              <w:rPr>
                <w:sz w:val="18"/>
              </w:rPr>
              <w:t>Abstract The increasing recognition of mental health, especially since COVID-19, has invoked urgent attention towards HRM and well-being of employees. Despite strong momentum in human resource management (HRM)—employee well-being (EWB) research, EWB…</w:t>
            </w:r>
          </w:p>
        </w:tc>
        <w:tc>
          <w:tcPr>
            <w:tcW w:type="dxa" w:w="1872"/>
          </w:tcPr>
          <w:p>
            <w:pPr>
              <w:bidi/>
              <w:jc w:val="start"/>
            </w:pPr>
            <w:r>
              <w:rPr>
                <w:rtl/>
              </w:rPr>
            </w:r>
            <w:r>
              <w:rPr>
                <w:sz w:val="18"/>
                <w:rtl/>
              </w:rPr>
              <w:t>רקע / הקשר</w:t>
            </w:r>
          </w:p>
        </w:tc>
        <w:tc>
          <w:tcPr>
            <w:tcW w:type="dxa" w:w="1872"/>
          </w:tcPr>
          <w:p>
            <w:pPr>
              <w:bidi w:val="0"/>
              <w:jc w:val="start"/>
            </w:pPr>
            <w:r/>
            <w:r>
              <w:rPr>
                <w:sz w:val="18"/>
              </w:rPr>
              <w:t>Future Business Journal</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S112</w:t>
            </w:r>
          </w:p>
        </w:tc>
        <w:tc>
          <w:tcPr>
            <w:tcW w:type="dxa" w:w="3744"/>
            <w:shd w:val="clear" w:color="auto" w:fill="FFF5EB"/>
          </w:tcPr>
          <w:p>
            <w:pPr>
              <w:bidi w:val="0"/>
              <w:jc w:val="start"/>
            </w:pPr>
            <w:r/>
            <w:r>
              <w:rPr>
                <w:sz w:val="18"/>
              </w:rPr>
              <w:t>Recent advancements in generative artificial intelligence (AI) tools have increasingly blurred the boundary between student-authored and AI-generated academic texts, raising urgent concerns about the erosion of academic integrity, creativity, and…</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Arab World English Journal</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S113</w:t>
            </w:r>
          </w:p>
        </w:tc>
        <w:tc>
          <w:tcPr>
            <w:tcW w:type="dxa" w:w="3744"/>
          </w:tcPr>
          <w:p>
            <w:pPr>
              <w:bidi w:val="0"/>
              <w:jc w:val="start"/>
            </w:pPr>
            <w:r/>
            <w:r>
              <w:rPr>
                <w:sz w:val="18"/>
              </w:rPr>
              <w:t>This handbook challenges the conventional wisdom that intellectual property is the law of creativity. Traditionally, IP has been instrumental for protecting creations of the mind, with only inventors of original works enjoying exclusive rights.</w:t>
            </w:r>
          </w:p>
        </w:tc>
        <w:tc>
          <w:tcPr>
            <w:tcW w:type="dxa" w:w="1872"/>
          </w:tcPr>
          <w:p>
            <w:pPr>
              <w:bidi/>
              <w:jc w:val="start"/>
            </w:pPr>
            <w:r>
              <w:rPr>
                <w:rtl/>
              </w:rPr>
            </w:r>
            <w:r>
              <w:rPr>
                <w:sz w:val="18"/>
                <w:rtl/>
              </w:rPr>
              <w:t>רקע / הקשר</w:t>
            </w:r>
          </w:p>
        </w:tc>
        <w:tc>
          <w:tcPr>
            <w:tcW w:type="dxa" w:w="1872"/>
          </w:tcPr>
          <w:p>
            <w:pPr>
              <w:bidi w:val="0"/>
              <w:jc w:val="start"/>
            </w:pPr>
            <w:r/>
            <w:r>
              <w:rPr>
                <w:sz w:val="18"/>
              </w:rPr>
              <w:t>Cambridge University Press eBooks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S114</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Navigating Generative AI in Higher Education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S115</w:t>
            </w:r>
          </w:p>
        </w:tc>
        <w:tc>
          <w:tcPr>
            <w:tcW w:type="dxa" w:w="3744"/>
          </w:tcPr>
          <w:p>
            <w:pPr>
              <w:bidi w:val="0"/>
              <w:jc w:val="start"/>
            </w:pPr>
            <w:r/>
            <w:r>
              <w:rPr>
                <w:sz w:val="18"/>
              </w:rPr>
              <w:t>students to help assist their peers along the academic writing journey. This handbook addresses co-authoring strategies in business research. The students are discovering much to debate about co-authoring in academic writing.</w:t>
            </w:r>
          </w:p>
        </w:tc>
        <w:tc>
          <w:tcPr>
            <w:tcW w:type="dxa" w:w="1872"/>
          </w:tcPr>
          <w:p>
            <w:pPr>
              <w:bidi/>
              <w:jc w:val="start"/>
            </w:pPr>
            <w:r>
              <w:rPr>
                <w:rtl/>
              </w:rPr>
            </w:r>
            <w:r>
              <w:rPr>
                <w:sz w:val="18"/>
                <w:rtl/>
              </w:rPr>
              <w:t>רקע / הקשר</w:t>
            </w:r>
          </w:p>
        </w:tc>
        <w:tc>
          <w:tcPr>
            <w:tcW w:type="dxa" w:w="1872"/>
          </w:tcPr>
          <w:p>
            <w:pPr>
              <w:bidi w:val="0"/>
              <w:jc w:val="start"/>
            </w:pPr>
            <w:r/>
            <w:r>
              <w:rPr>
                <w:sz w:val="18"/>
              </w:rPr>
              <w:t>Arrow - TU Dublin (Technological University Dublin)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S116</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S117</w:t>
            </w:r>
          </w:p>
        </w:tc>
        <w:tc>
          <w:tcPr>
            <w:tcW w:type="dxa" w:w="3744"/>
          </w:tcPr>
          <w:p>
            <w:pPr>
              <w:bidi w:val="0"/>
              <w:jc w:val="start"/>
            </w:pPr>
            <w:r/>
            <w:r>
              <w:rPr>
                <w:sz w:val="18"/>
              </w:rPr>
              <w:t>The evolution of large language models (LLMs) is reshaping the landscape of scientific writing, enabling the generation of machine-written review papers with minimal human intervention.</w:t>
            </w:r>
          </w:p>
        </w:tc>
        <w:tc>
          <w:tcPr>
            <w:tcW w:type="dxa" w:w="1872"/>
          </w:tcPr>
          <w:p>
            <w:pPr>
              <w:bidi/>
              <w:jc w:val="start"/>
            </w:pPr>
            <w:r>
              <w:rPr>
                <w:rtl/>
              </w:rPr>
            </w:r>
            <w:r>
              <w:rPr>
                <w:sz w:val="18"/>
                <w:rtl/>
              </w:rPr>
              <w:t>רקע / הקשר</w:t>
            </w:r>
          </w:p>
        </w:tc>
        <w:tc>
          <w:tcPr>
            <w:tcW w:type="dxa" w:w="1872"/>
          </w:tcPr>
          <w:p>
            <w:pPr>
              <w:bidi w:val="0"/>
              <w:jc w:val="start"/>
            </w:pPr>
            <w:r/>
            <w:r>
              <w:rPr>
                <w:sz w:val="18"/>
              </w:rPr>
              <w:t>ACS Applied Materials &amp; Interfaces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S118</w:t>
            </w:r>
          </w:p>
        </w:tc>
        <w:tc>
          <w:tcPr>
            <w:tcW w:type="dxa" w:w="3744"/>
            <w:shd w:val="clear" w:color="auto" w:fill="FFF5EB"/>
          </w:tcPr>
          <w:p>
            <w:pPr>
              <w:bidi w:val="0"/>
              <w:jc w:val="start"/>
            </w:pPr>
            <w:r/>
            <w:r>
              <w:rPr>
                <w:sz w:val="18"/>
              </w:rPr>
              <w:t>Abstract The advent of AI-generated art necessitates a re-examination of the concept of “aura,” as originally posited by Walter Benjamin, and challenges prevailing perceptions of authenticity and originality in art.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AI &amp; Society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S119</w:t>
            </w:r>
          </w:p>
        </w:tc>
        <w:tc>
          <w:tcPr>
            <w:tcW w:type="dxa" w:w="3744"/>
          </w:tcPr>
          <w:p>
            <w:pPr>
              <w:bidi w:val="0"/>
              <w:jc w:val="start"/>
            </w:pPr>
            <w:r/>
            <w:r>
              <w:rPr>
                <w:sz w:val="18"/>
              </w:rPr>
              <w:t>This article takes a closer look at how the American author Tao Lin uses Twitter to perform his authorial identity. Twitter serves as a primary platform for Lin to shape and reshape the public images of him as an author.</w:t>
            </w:r>
          </w:p>
        </w:tc>
        <w:tc>
          <w:tcPr>
            <w:tcW w:type="dxa" w:w="1872"/>
          </w:tcPr>
          <w:p>
            <w:pPr>
              <w:bidi/>
              <w:jc w:val="start"/>
            </w:pPr>
            <w:r>
              <w:rPr>
                <w:rtl/>
              </w:rPr>
            </w:r>
            <w:r>
              <w:rPr>
                <w:sz w:val="18"/>
                <w:rtl/>
              </w:rPr>
              <w:t>רקע / הקשר</w:t>
            </w:r>
          </w:p>
        </w:tc>
        <w:tc>
          <w:tcPr>
            <w:tcW w:type="dxa" w:w="1872"/>
          </w:tcPr>
          <w:p>
            <w:pPr>
              <w:bidi w:val="0"/>
              <w:jc w:val="start"/>
            </w:pPr>
            <w:r/>
            <w:r>
              <w:rPr>
                <w:sz w:val="18"/>
              </w:rPr>
              <w:t>Authorship</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S120</w:t>
            </w:r>
          </w:p>
        </w:tc>
        <w:tc>
          <w:tcPr>
            <w:tcW w:type="dxa" w:w="3744"/>
            <w:shd w:val="clear" w:color="auto" w:fill="FFF5EB"/>
          </w:tcPr>
          <w:p>
            <w:pPr>
              <w:bidi w:val="0"/>
              <w:jc w:val="start"/>
            </w:pPr>
            <w:r/>
            <w:r>
              <w:rPr>
                <w:sz w:val="18"/>
              </w:rPr>
              <w:t>—</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S121</w:t>
            </w:r>
          </w:p>
        </w:tc>
        <w:tc>
          <w:tcPr>
            <w:tcW w:type="dxa" w:w="3744"/>
          </w:tcPr>
          <w:p>
            <w:pPr>
              <w:bidi w:val="0"/>
              <w:jc w:val="start"/>
            </w:pPr>
            <w:r/>
            <w:r>
              <w:rPr>
                <w:sz w:val="18"/>
              </w:rPr>
              <w:t>Abstract Picture a simple scenario: a worm, in its modest way, traces a trail of paint as it moves across a sheet of paper. Now shift your imagination to a more complex scene, where a chimpanzee paints on another sheet of paper.</w:t>
            </w:r>
          </w:p>
        </w:tc>
        <w:tc>
          <w:tcPr>
            <w:tcW w:type="dxa" w:w="1872"/>
          </w:tcPr>
          <w:p>
            <w:pPr>
              <w:bidi/>
              <w:jc w:val="start"/>
            </w:pPr>
            <w:r>
              <w:rPr>
                <w:rtl/>
              </w:rPr>
            </w:r>
            <w:r>
              <w:rPr>
                <w:sz w:val="18"/>
                <w:rtl/>
              </w:rPr>
              <w:t>רקע / הקשר</w:t>
            </w:r>
          </w:p>
        </w:tc>
        <w:tc>
          <w:tcPr>
            <w:tcW w:type="dxa" w:w="1872"/>
          </w:tcPr>
          <w:p>
            <w:pPr>
              <w:bidi w:val="0"/>
              <w:jc w:val="start"/>
            </w:pPr>
            <w:r/>
            <w:r>
              <w:rPr>
                <w:sz w:val="18"/>
              </w:rPr>
              <w:t>Humanities and Social Sciences Communications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S122</w:t>
            </w:r>
          </w:p>
        </w:tc>
        <w:tc>
          <w:tcPr>
            <w:tcW w:type="dxa" w:w="3744"/>
            <w:shd w:val="clear" w:color="auto" w:fill="FFF5EB"/>
          </w:tcPr>
          <w:p>
            <w:pPr>
              <w:bidi w:val="0"/>
              <w:jc w:val="start"/>
            </w:pPr>
            <w:r/>
            <w:r>
              <w:rPr>
                <w:sz w:val="18"/>
              </w:rPr>
              <w:t>Abstract The notion of ‘anthropomorphism’ has been a subject of intrigue for transdisciplinary academics and scholars for the longest time, as the origin of this concept dates back to the BCE (Before Common Era).</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International Journal of Consumer Studies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S123</w:t>
            </w:r>
          </w:p>
        </w:tc>
        <w:tc>
          <w:tcPr>
            <w:tcW w:type="dxa" w:w="3744"/>
          </w:tcPr>
          <w:p>
            <w:pPr>
              <w:bidi w:val="0"/>
              <w:jc w:val="start"/>
            </w:pPr>
            <w:r/>
            <w:r>
              <w:rPr>
                <w:sz w:val="18"/>
              </w:rPr>
              <w:t>This study deals with the primary areas and the present dynamics related to entrepreneurial capacity (EC); apart from this, it provides research directions in EC’s research field that would be of use in the future.</w:t>
            </w:r>
          </w:p>
        </w:tc>
        <w:tc>
          <w:tcPr>
            <w:tcW w:type="dxa" w:w="1872"/>
          </w:tcPr>
          <w:p>
            <w:pPr>
              <w:bidi/>
              <w:jc w:val="start"/>
            </w:pPr>
            <w:r>
              <w:rPr>
                <w:rtl/>
              </w:rPr>
            </w:r>
            <w:r>
              <w:rPr>
                <w:sz w:val="18"/>
                <w:rtl/>
              </w:rPr>
              <w:t>רקע / הקשר</w:t>
            </w:r>
          </w:p>
        </w:tc>
        <w:tc>
          <w:tcPr>
            <w:tcW w:type="dxa" w:w="1872"/>
          </w:tcPr>
          <w:p>
            <w:pPr>
              <w:bidi w:val="0"/>
              <w:jc w:val="start"/>
            </w:pPr>
            <w:r/>
            <w:r>
              <w:rPr>
                <w:sz w:val="18"/>
              </w:rPr>
              <w:t>Cogent Business &amp; Management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S124</w:t>
            </w:r>
          </w:p>
        </w:tc>
        <w:tc>
          <w:tcPr>
            <w:tcW w:type="dxa" w:w="3744"/>
            <w:shd w:val="clear" w:color="auto" w:fill="FFF5EB"/>
          </w:tcPr>
          <w:p>
            <w:pPr>
              <w:bidi w:val="0"/>
              <w:jc w:val="start"/>
            </w:pPr>
            <w:r/>
            <w:r>
              <w:rPr>
                <w:sz w:val="18"/>
              </w:rPr>
              <w:t>This article critically examines the evolving role of generative artificial intelligence (AI) in scholarly authorship, challenging prevailing norms that categorically exclude AI systems from formal recognition.</w:t>
            </w:r>
          </w:p>
        </w:tc>
        <w:tc>
          <w:tcPr>
            <w:tcW w:type="dxa" w:w="1872"/>
            <w:shd w:val="clear" w:color="auto" w:fill="FFF5EB"/>
          </w:tcPr>
          <w:p>
            <w:pPr>
              <w:bidi/>
              <w:jc w:val="start"/>
            </w:pPr>
            <w:r>
              <w:rPr>
                <w:rtl/>
              </w:rPr>
            </w:r>
            <w:r>
              <w:rPr>
                <w:sz w:val="18"/>
                <w:rtl/>
              </w:rPr>
              <w:t>רקע / הקשר</w:t>
            </w:r>
          </w:p>
        </w:tc>
        <w:tc>
          <w:tcPr>
            <w:tcW w:type="dxa" w:w="1872"/>
            <w:shd w:val="clear" w:color="auto" w:fill="FFF5EB"/>
          </w:tcPr>
          <w:p>
            <w:pPr>
              <w:bidi w:val="0"/>
              <w:jc w:val="start"/>
            </w:pPr>
            <w:r/>
            <w:r>
              <w:rPr>
                <w:sz w:val="18"/>
              </w:rPr>
              <w:t>The Artificial Intelligence Business Review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S125</w:t>
            </w:r>
          </w:p>
        </w:tc>
        <w:tc>
          <w:tcPr>
            <w:tcW w:type="dxa" w:w="3744"/>
          </w:tcPr>
          <w:p>
            <w:pPr>
              <w:bidi w:val="0"/>
              <w:jc w:val="start"/>
            </w:pPr>
            <w:r/>
            <w:r>
              <w:rPr>
                <w:sz w:val="18"/>
              </w:rPr>
              <w:t>—</w:t>
            </w:r>
          </w:p>
        </w:tc>
        <w:tc>
          <w:tcPr>
            <w:tcW w:type="dxa" w:w="1872"/>
          </w:tcPr>
          <w:p>
            <w:pPr>
              <w:bidi/>
              <w:jc w:val="start"/>
            </w:pPr>
            <w:r>
              <w:rPr>
                <w:rtl/>
              </w:rPr>
            </w:r>
            <w:r>
              <w:rPr>
                <w:sz w:val="18"/>
                <w:rtl/>
              </w:rPr>
              <w:t>רקע / הקשר</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w:t>
            </w:r>
          </w:p>
        </w:tc>
      </w:tr>
    </w:tbl>
    <w:p>
      <w:pPr>
        <w:bidi/>
        <w:jc w:val="start"/>
      </w:pPr>
      <w:r>
        <w:rPr>
          <w:rFonts w:ascii="Times New Roman" w:hAnsi="Times New Roman" w:cs="Times New Roman"/>
          <w:b w:val="0"/>
          <w:color w:val="6B7280"/>
          <w:sz w:val="18"/>
          <w:rtl/>
        </w:rPr>
        <w:t>כיצד להשתמש בזה: יש לקרוא את המקורות הרלוונטיים ביותר לטיעון שלך, לוודא שכל ציטוט תומך בטענה שלצדו, ולהשתמש בסיכום זה לחיזוק סקירת הספרות שלך.</w:t>
      </w:r>
    </w:p>
    <w:p>
      <w:pPr>
        <w:bidi/>
        <w:jc w:val="start"/>
      </w:pPr>
    </w:p>
    <w:p>
      <w:pPr>
        <w:pStyle w:val="Heading1"/>
        <w:pBdr>
          <w:bottom w:val="single" w:sz="18" w:space="4" w:color="E06D00"/>
        </w:pBdr>
        <w:bidi/>
        <w:jc w:val="start"/>
      </w:pPr>
      <w:r>
        <w:rPr>
          <w:rtl/>
        </w:rPr>
        <w:t>סקירת איכות אקדמית</w:t>
      </w:r>
    </w:p>
    <w:p>
      <w:pPr>
        <w:bidi/>
        <w:jc w:val="start"/>
      </w:pPr>
      <w:r>
        <w:rPr>
          <w:rFonts w:ascii="Times New Roman" w:hAnsi="Times New Roman" w:cs="Times New Roman"/>
          <w:b w:val="0"/>
          <w:color w:val="6B7280"/>
          <w:sz w:val="20"/>
          <w:rtl/>
        </w:rPr>
        <w:t>סקירה ברמה גבוהה יותר של העבודה כמכלול — הראיות, ההיגיון, המבנה והאופן שבו קוראים שונים עשויים להגיב. יש לקרוא אותה כמפת דרכים לשיפור, ולא כפסק דין.</w:t>
      </w:r>
    </w:p>
    <w:p>
      <w:pPr>
        <w:bidi/>
        <w:jc w:val="start"/>
      </w:pPr>
      <w:r>
        <w:rPr>
          <w:rFonts w:ascii="Times New Roman" w:hAnsi="Times New Roman" w:cs="Times New Roman"/>
          <w:b/>
          <w:sz w:val="28"/>
          <w:rtl/>
        </w:rPr>
        <w:t>ציון כולל</w:t>
      </w:r>
    </w:p>
    <w:p>
      <w:pPr>
        <w:bidi/>
        <w:jc w:val="center"/>
      </w:pPr>
      <w:r>
        <w:rPr>
          <w:rFonts w:ascii="Times New Roman" w:hAnsi="Times New Roman" w:cs="Times New Roman"/>
          <w:b/>
          <w:sz w:val="48"/>
          <w:rtl/>
        </w:rPr>
        <w:t>‏90‏/‏100‏</w:t>
      </w:r>
    </w:p>
    <w:p>
      <w:pPr>
        <w:bidi/>
        <w:jc w:val="center"/>
      </w:pPr>
      <w:r>
        <w:rPr>
          <w:rFonts w:ascii="Times New Roman" w:hAnsi="Times New Roman" w:cs="Times New Roman"/>
          <w:b w:val="0"/>
          <w:color w:val="6B7280"/>
          <w:sz w:val="20"/>
          <w:rtl/>
        </w:rPr>
        <w:t>ממוצע משוקלל על פני כל הפרקים ‎(0‎–‎100)‎</w:t>
      </w:r>
    </w:p>
    <w:p>
      <w:pPr>
        <w:bidi/>
        <w:jc w:val="start"/>
      </w:pPr>
    </w:p>
    <w:p>
      <w:pPr>
        <w:bidi/>
        <w:jc w:val="start"/>
      </w:pPr>
      <w:r>
        <w:rPr>
          <w:rFonts w:ascii="Times New Roman" w:hAnsi="Times New Roman" w:cs="Times New Roman"/>
          <w:b/>
          <w:sz w:val="28"/>
          <w:rtl/>
        </w:rPr>
        <w:t>ממצאים לפי ממד</w:t>
      </w:r>
    </w:p>
    <w:p>
      <w:pPr>
        <w:bidi/>
        <w:jc w:val="start"/>
      </w:pPr>
      <w:r>
        <w:rPr>
          <w:rFonts w:ascii="Times New Roman" w:hAnsi="Times New Roman" w:cs="Times New Roman"/>
          <w:b w:val="0"/>
          <w:color w:val="6B7280"/>
          <w:sz w:val="20"/>
          <w:rtl/>
        </w:rPr>
        <w:t>כמה ממצאים הביקורת סימנה בכל ממד — ספירה, ולא ציון ‏0‏–‏100‏, כך שפחות הוא טוב יותר. מצביע היכן המסמך נדרש לתשומת לב רבה ביותר.</w:t>
      </w:r>
    </w:p>
    <w:tbl>
      <w:tblPr>
        <w:tblStyle w:val="TableGrid"/>
        <w:bidiVisual/>
        <w:tblW w:type="auto" w:w="0"/>
        <w:jc w:val="center"/>
        <w:tblLook w:firstColumn="1" w:firstRow="1" w:lastColumn="0" w:lastRow="0" w:noHBand="0" w:noVBand="1" w:val="04A0"/>
      </w:tblPr>
      <w:tblGrid>
        <w:gridCol w:w="4320"/>
        <w:gridCol w:w="4320"/>
      </w:tblGrid>
      <w:tr>
        <w:trPr>
          <w:tblHeader/>
          <w:cantSplit/>
        </w:trPr>
        <w:tc>
          <w:tcPr>
            <w:tcW w:type="dxa" w:w="4320"/>
            <w:shd w:val="clear" w:color="auto" w:fill="FF7A00"/>
          </w:tcPr>
          <w:p>
            <w:pPr>
              <w:bidi/>
              <w:jc w:val="start"/>
            </w:pPr>
            <w:r>
              <w:rPr>
                <w:rtl/>
              </w:rPr>
            </w:r>
            <w:r>
              <w:rPr>
                <w:rFonts w:ascii="Times New Roman" w:hAnsi="Times New Roman" w:cs="Times New Roman"/>
                <w:b/>
                <w:color w:val="FFFFFF"/>
                <w:sz w:val="20"/>
                <w:rtl/>
              </w:rPr>
              <w:t>ממד</w:t>
            </w:r>
          </w:p>
        </w:tc>
        <w:tc>
          <w:tcPr>
            <w:tcW w:type="dxa" w:w="4320"/>
            <w:shd w:val="clear" w:color="auto" w:fill="FF7A00"/>
          </w:tcPr>
          <w:p>
            <w:pPr>
              <w:bidi/>
              <w:jc w:val="start"/>
            </w:pPr>
            <w:r>
              <w:rPr>
                <w:rtl/>
              </w:rPr>
            </w:r>
            <w:r>
              <w:rPr>
                <w:rFonts w:ascii="Times New Roman" w:hAnsi="Times New Roman" w:cs="Times New Roman"/>
                <w:b/>
                <w:color w:val="FFFFFF"/>
                <w:sz w:val="20"/>
                <w:rtl/>
              </w:rPr>
              <w:t>ממצאים</w:t>
            </w:r>
          </w:p>
        </w:tc>
      </w:tr>
      <w:tr>
        <w:trPr>
          <w:cantSplit/>
        </w:trPr>
        <w:tc>
          <w:tcPr>
            <w:tcW w:type="dxa" w:w="4320"/>
          </w:tcPr>
          <w:p>
            <w:pPr>
              <w:bidi/>
              <w:jc w:val="start"/>
            </w:pPr>
            <w:r>
              <w:rPr>
                <w:rtl/>
              </w:rPr>
            </w:r>
            <w:r>
              <w:rPr>
                <w:rFonts w:ascii="Times New Roman" w:hAnsi="Times New Roman" w:cs="Times New Roman"/>
                <w:b/>
                <w:sz w:val="20"/>
                <w:rtl/>
              </w:rPr>
              <w:t>לוגיקה</w:t>
            </w:r>
          </w:p>
          <w:p>
            <w:pPr>
              <w:bidi/>
              <w:jc w:val="start"/>
            </w:pPr>
            <w:r>
              <w:rPr>
                <w:rFonts w:ascii="Times New Roman" w:hAnsi="Times New Roman" w:cs="Times New Roman"/>
                <w:color w:val="6B7280"/>
                <w:sz w:val="18"/>
                <w:rtl/>
              </w:rPr>
              <w:t>זרימת הטיעון והעדר קפיצות לוגיות.</w:t>
            </w:r>
          </w:p>
        </w:tc>
        <w:tc>
          <w:tcPr>
            <w:tcW w:type="dxa" w:w="4320"/>
          </w:tcPr>
          <w:p>
            <w:pPr>
              <w:bidi/>
              <w:jc w:val="start"/>
            </w:pPr>
            <w:r>
              <w:rPr>
                <w:rtl/>
              </w:rPr>
            </w:r>
            <w:r>
              <w:rPr>
                <w:rFonts w:ascii="Times New Roman" w:hAnsi="Times New Roman" w:cs="Times New Roman"/>
                <w:b w:val="0"/>
                <w:sz w:val="22"/>
                <w:rtl/>
              </w:rPr>
              <w:t>‏0‏</w:t>
            </w:r>
          </w:p>
        </w:tc>
      </w:tr>
      <w:tr>
        <w:trPr>
          <w:cantSplit/>
        </w:trPr>
        <w:tc>
          <w:tcPr>
            <w:tcW w:type="dxa" w:w="4320"/>
            <w:shd w:val="clear" w:color="auto" w:fill="FFF5EB"/>
          </w:tcPr>
          <w:p>
            <w:pPr>
              <w:bidi/>
              <w:jc w:val="start"/>
            </w:pPr>
            <w:r>
              <w:rPr>
                <w:rtl/>
              </w:rPr>
            </w:r>
            <w:r>
              <w:rPr>
                <w:rFonts w:ascii="Times New Roman" w:hAnsi="Times New Roman" w:cs="Times New Roman"/>
                <w:b/>
                <w:sz w:val="20"/>
                <w:rtl/>
              </w:rPr>
              <w:t>ראיות</w:t>
            </w:r>
          </w:p>
          <w:p>
            <w:pPr>
              <w:bidi/>
              <w:jc w:val="start"/>
            </w:pPr>
            <w:r>
              <w:rPr>
                <w:rFonts w:ascii="Times New Roman" w:hAnsi="Times New Roman" w:cs="Times New Roman"/>
                <w:color w:val="6B7280"/>
                <w:sz w:val="18"/>
                <w:rtl/>
              </w:rPr>
              <w:t>לכל טענה מהותית יש מקור מאומת או שהיא מסומנת כהשערה.</w:t>
            </w:r>
          </w:p>
        </w:tc>
        <w:tc>
          <w:tcPr>
            <w:tcW w:type="dxa" w:w="4320"/>
            <w:shd w:val="clear" w:color="auto" w:fill="FFF5EB"/>
          </w:tcPr>
          <w:p>
            <w:pPr>
              <w:bidi/>
              <w:jc w:val="start"/>
            </w:pPr>
            <w:r>
              <w:rPr>
                <w:rtl/>
              </w:rPr>
            </w:r>
            <w:r>
              <w:rPr>
                <w:rFonts w:ascii="Times New Roman" w:hAnsi="Times New Roman" w:cs="Times New Roman"/>
                <w:b w:val="0"/>
                <w:sz w:val="22"/>
                <w:rtl/>
              </w:rPr>
              <w:t>‏5‏</w:t>
            </w:r>
          </w:p>
        </w:tc>
      </w:tr>
      <w:tr>
        <w:trPr>
          <w:cantSplit/>
        </w:trPr>
        <w:tc>
          <w:tcPr>
            <w:tcW w:type="dxa" w:w="4320"/>
          </w:tcPr>
          <w:p>
            <w:pPr>
              <w:bidi/>
              <w:jc w:val="start"/>
            </w:pPr>
            <w:r>
              <w:rPr>
                <w:rtl/>
              </w:rPr>
            </w:r>
            <w:r>
              <w:rPr>
                <w:rFonts w:ascii="Times New Roman" w:hAnsi="Times New Roman" w:cs="Times New Roman"/>
                <w:b/>
                <w:sz w:val="20"/>
                <w:rtl/>
              </w:rPr>
              <w:t>אינטגריטי של ציטוטים</w:t>
            </w:r>
          </w:p>
          <w:p>
            <w:pPr>
              <w:bidi/>
              <w:jc w:val="start"/>
            </w:pPr>
            <w:r>
              <w:rPr>
                <w:rFonts w:ascii="Times New Roman" w:hAnsi="Times New Roman" w:cs="Times New Roman"/>
                <w:color w:val="6B7280"/>
                <w:sz w:val="18"/>
                <w:rtl/>
              </w:rPr>
              <w:t>כל ציטוט בגוף הטקסט קיים ברשימת המקורות.</w:t>
            </w:r>
          </w:p>
        </w:tc>
        <w:tc>
          <w:tcPr>
            <w:tcW w:type="dxa" w:w="4320"/>
          </w:tcPr>
          <w:p>
            <w:pPr>
              <w:bidi/>
              <w:jc w:val="start"/>
            </w:pPr>
            <w:r>
              <w:rPr>
                <w:rtl/>
              </w:rPr>
            </w:r>
            <w:r>
              <w:rPr>
                <w:rFonts w:ascii="Times New Roman" w:hAnsi="Times New Roman" w:cs="Times New Roman"/>
                <w:b w:val="0"/>
                <w:sz w:val="22"/>
                <w:rtl/>
              </w:rPr>
              <w:t>‏1‏</w:t>
            </w:r>
          </w:p>
        </w:tc>
      </w:tr>
      <w:tr>
        <w:trPr>
          <w:cantSplit/>
        </w:trPr>
        <w:tc>
          <w:tcPr>
            <w:tcW w:type="dxa" w:w="4320"/>
            <w:shd w:val="clear" w:color="auto" w:fill="FFF5EB"/>
          </w:tcPr>
          <w:p>
            <w:pPr>
              <w:bidi/>
              <w:jc w:val="start"/>
            </w:pPr>
            <w:r>
              <w:rPr>
                <w:rtl/>
              </w:rPr>
            </w:r>
            <w:r>
              <w:rPr>
                <w:rFonts w:ascii="Times New Roman" w:hAnsi="Times New Roman" w:cs="Times New Roman"/>
                <w:b/>
                <w:sz w:val="20"/>
                <w:rtl/>
              </w:rPr>
              <w:t>שלמות</w:t>
            </w:r>
          </w:p>
          <w:p>
            <w:pPr>
              <w:bidi/>
              <w:jc w:val="start"/>
            </w:pPr>
            <w:r>
              <w:rPr>
                <w:rFonts w:ascii="Times New Roman" w:hAnsi="Times New Roman" w:cs="Times New Roman"/>
                <w:color w:val="6B7280"/>
                <w:sz w:val="18"/>
                <w:rtl/>
              </w:rPr>
              <w:t>כל הפרקים מהמתאר נמצאים; כל דרישות הטופס כוסו.</w:t>
            </w:r>
          </w:p>
        </w:tc>
        <w:tc>
          <w:tcPr>
            <w:tcW w:type="dxa" w:w="4320"/>
            <w:shd w:val="clear" w:color="auto" w:fill="FFF5EB"/>
          </w:tcPr>
          <w:p>
            <w:pPr>
              <w:bidi/>
              <w:jc w:val="start"/>
            </w:pPr>
            <w:r>
              <w:rPr>
                <w:rtl/>
              </w:rPr>
            </w:r>
            <w:r>
              <w:rPr>
                <w:rFonts w:ascii="Times New Roman" w:hAnsi="Times New Roman" w:cs="Times New Roman"/>
                <w:b w:val="0"/>
                <w:sz w:val="22"/>
                <w:rtl/>
              </w:rPr>
              <w:t>‏3‏</w:t>
            </w:r>
          </w:p>
        </w:tc>
      </w:tr>
      <w:tr>
        <w:trPr>
          <w:cantSplit/>
        </w:trPr>
        <w:tc>
          <w:tcPr>
            <w:tcW w:type="dxa" w:w="4320"/>
          </w:tcPr>
          <w:p>
            <w:pPr>
              <w:bidi/>
              <w:jc w:val="start"/>
            </w:pPr>
            <w:r>
              <w:rPr>
                <w:rtl/>
              </w:rPr>
            </w:r>
            <w:r>
              <w:rPr>
                <w:rFonts w:ascii="Times New Roman" w:hAnsi="Times New Roman" w:cs="Times New Roman"/>
                <w:b/>
                <w:sz w:val="20"/>
                <w:rtl/>
              </w:rPr>
              <w:t>סגנון אקדמי</w:t>
            </w:r>
          </w:p>
          <w:p>
            <w:pPr>
              <w:bidi/>
              <w:jc w:val="start"/>
            </w:pPr>
            <w:r>
              <w:rPr>
                <w:rFonts w:ascii="Times New Roman" w:hAnsi="Times New Roman" w:cs="Times New Roman"/>
                <w:color w:val="6B7280"/>
                <w:sz w:val="18"/>
                <w:rtl/>
              </w:rPr>
              <w:t>הרגיסטר תואם לרמה האקדמית; אין ריח של ‏AI.‏</w:t>
            </w:r>
          </w:p>
        </w:tc>
        <w:tc>
          <w:tcPr>
            <w:tcW w:type="dxa" w:w="4320"/>
          </w:tcPr>
          <w:p>
            <w:pPr>
              <w:bidi/>
              <w:jc w:val="start"/>
            </w:pPr>
            <w:r>
              <w:rPr>
                <w:rtl/>
              </w:rPr>
            </w:r>
            <w:r>
              <w:rPr>
                <w:rFonts w:ascii="Times New Roman" w:hAnsi="Times New Roman" w:cs="Times New Roman"/>
                <w:b w:val="0"/>
                <w:sz w:val="22"/>
                <w:rtl/>
              </w:rPr>
              <w:t>‏1‏</w:t>
            </w:r>
          </w:p>
        </w:tc>
      </w:tr>
      <w:tr>
        <w:trPr>
          <w:cantSplit/>
        </w:trPr>
        <w:tc>
          <w:tcPr>
            <w:tcW w:type="dxa" w:w="4320"/>
            <w:shd w:val="clear" w:color="auto" w:fill="FFF5EB"/>
          </w:tcPr>
          <w:p>
            <w:pPr>
              <w:bidi/>
              <w:jc w:val="start"/>
            </w:pPr>
            <w:r>
              <w:rPr>
                <w:rtl/>
              </w:rPr>
            </w:r>
            <w:r>
              <w:rPr>
                <w:rFonts w:ascii="Times New Roman" w:hAnsi="Times New Roman" w:cs="Times New Roman"/>
                <w:b/>
                <w:sz w:val="20"/>
                <w:rtl/>
              </w:rPr>
              <w:t>שמירת היקף</w:t>
            </w:r>
          </w:p>
          <w:p>
            <w:pPr>
              <w:bidi/>
              <w:jc w:val="start"/>
            </w:pPr>
            <w:r>
              <w:rPr>
                <w:rFonts w:ascii="Times New Roman" w:hAnsi="Times New Roman" w:cs="Times New Roman"/>
                <w:color w:val="6B7280"/>
                <w:sz w:val="18"/>
                <w:rtl/>
              </w:rPr>
              <w:t>המורכבות תואמת לתקרת הרמה האקדמית (‏BA‏ / ‏MA‏ / ‏PhD‏).</w:t>
            </w:r>
          </w:p>
        </w:tc>
        <w:tc>
          <w:tcPr>
            <w:tcW w:type="dxa" w:w="4320"/>
            <w:shd w:val="clear" w:color="auto" w:fill="FFF5EB"/>
          </w:tcPr>
          <w:p>
            <w:pPr>
              <w:bidi/>
              <w:jc w:val="start"/>
            </w:pPr>
            <w:r>
              <w:rPr>
                <w:rtl/>
              </w:rPr>
            </w:r>
            <w:r>
              <w:rPr>
                <w:rFonts w:ascii="Times New Roman" w:hAnsi="Times New Roman" w:cs="Times New Roman"/>
                <w:b w:val="0"/>
                <w:sz w:val="22"/>
                <w:rtl/>
              </w:rPr>
              <w:t>‏5‏</w:t>
            </w:r>
          </w:p>
        </w:tc>
      </w:tr>
      <w:tr>
        <w:trPr>
          <w:cantSplit/>
        </w:trPr>
        <w:tc>
          <w:tcPr>
            <w:tcW w:type="dxa" w:w="4320"/>
          </w:tcPr>
          <w:p>
            <w:pPr>
              <w:bidi/>
              <w:jc w:val="start"/>
            </w:pPr>
            <w:r>
              <w:rPr>
                <w:rtl/>
              </w:rPr>
            </w:r>
            <w:r>
              <w:rPr>
                <w:rFonts w:ascii="Times New Roman" w:hAnsi="Times New Roman" w:cs="Times New Roman"/>
                <w:b/>
                <w:sz w:val="20"/>
                <w:rtl/>
              </w:rPr>
              <w:t>דיוק תרשימים</w:t>
            </w:r>
          </w:p>
          <w:p>
            <w:pPr>
              <w:bidi/>
              <w:jc w:val="start"/>
            </w:pPr>
            <w:r>
              <w:rPr>
                <w:rFonts w:ascii="Times New Roman" w:hAnsi="Times New Roman" w:cs="Times New Roman"/>
                <w:color w:val="6B7280"/>
                <w:sz w:val="18"/>
                <w:rtl/>
              </w:rPr>
              <w:t>תרשימים (אם יש) תואמים לראיות.</w:t>
            </w:r>
          </w:p>
        </w:tc>
        <w:tc>
          <w:tcPr>
            <w:tcW w:type="dxa" w:w="4320"/>
          </w:tcPr>
          <w:p>
            <w:pPr>
              <w:bidi/>
              <w:jc w:val="start"/>
            </w:pPr>
            <w:r>
              <w:rPr>
                <w:rtl/>
              </w:rPr>
            </w:r>
            <w:r>
              <w:rPr>
                <w:rFonts w:ascii="Times New Roman" w:hAnsi="Times New Roman" w:cs="Times New Roman"/>
                <w:b w:val="0"/>
                <w:sz w:val="22"/>
                <w:rtl/>
              </w:rPr>
              <w:t>‏0‏</w:t>
            </w:r>
          </w:p>
        </w:tc>
      </w:tr>
      <w:tr>
        <w:trPr>
          <w:cantSplit/>
        </w:trPr>
        <w:tc>
          <w:tcPr>
            <w:tcW w:type="dxa" w:w="4320"/>
            <w:shd w:val="clear" w:color="auto" w:fill="FFF5EB"/>
          </w:tcPr>
          <w:p>
            <w:pPr>
              <w:bidi/>
              <w:jc w:val="start"/>
            </w:pPr>
            <w:r>
              <w:rPr>
                <w:rtl/>
              </w:rPr>
            </w:r>
            <w:r>
              <w:rPr>
                <w:rFonts w:ascii="Times New Roman" w:hAnsi="Times New Roman" w:cs="Times New Roman"/>
                <w:b/>
                <w:sz w:val="20"/>
                <w:rtl/>
              </w:rPr>
              <w:t>התאמה למפרט</w:t>
            </w:r>
          </w:p>
          <w:p>
            <w:pPr>
              <w:bidi/>
              <w:jc w:val="start"/>
            </w:pPr>
            <w:r>
              <w:rPr>
                <w:rFonts w:ascii="Times New Roman" w:hAnsi="Times New Roman" w:cs="Times New Roman"/>
                <w:color w:val="6B7280"/>
                <w:sz w:val="18"/>
                <w:rtl/>
              </w:rPr>
              <w:t>המסמך מתייחס למה שהזמנת בפועל.</w:t>
            </w:r>
          </w:p>
        </w:tc>
        <w:tc>
          <w:tcPr>
            <w:tcW w:type="dxa" w:w="4320"/>
            <w:shd w:val="clear" w:color="auto" w:fill="FFF5EB"/>
          </w:tcPr>
          <w:p>
            <w:pPr>
              <w:bidi/>
              <w:jc w:val="start"/>
            </w:pPr>
            <w:r>
              <w:rPr>
                <w:rtl/>
              </w:rPr>
            </w:r>
            <w:r>
              <w:rPr>
                <w:rFonts w:ascii="Times New Roman" w:hAnsi="Times New Roman" w:cs="Times New Roman"/>
                <w:b w:val="0"/>
                <w:sz w:val="22"/>
                <w:rtl/>
              </w:rPr>
              <w:t>‏0‏</w:t>
            </w:r>
          </w:p>
        </w:tc>
      </w:tr>
      <w:tr>
        <w:trPr>
          <w:cantSplit/>
        </w:trPr>
        <w:tc>
          <w:tcPr>
            <w:tcW w:type="dxa" w:w="4320"/>
          </w:tcPr>
          <w:p>
            <w:pPr>
              <w:bidi/>
              <w:jc w:val="start"/>
            </w:pPr>
            <w:r>
              <w:rPr>
                <w:rtl/>
              </w:rPr>
            </w:r>
            <w:r>
              <w:rPr>
                <w:rFonts w:ascii="Times New Roman" w:hAnsi="Times New Roman" w:cs="Times New Roman"/>
                <w:b/>
                <w:sz w:val="20"/>
                <w:rtl/>
              </w:rPr>
              <w:t>התאמה לאילוצים</w:t>
            </w:r>
          </w:p>
          <w:p>
            <w:pPr>
              <w:bidi/>
              <w:jc w:val="start"/>
            </w:pPr>
            <w:r>
              <w:rPr>
                <w:rFonts w:ascii="Times New Roman" w:hAnsi="Times New Roman" w:cs="Times New Roman"/>
                <w:color w:val="6B7280"/>
                <w:sz w:val="18"/>
                <w:rtl/>
              </w:rPr>
              <w:t>כל אילוץ שציינת כובד.</w:t>
            </w:r>
          </w:p>
        </w:tc>
        <w:tc>
          <w:tcPr>
            <w:tcW w:type="dxa" w:w="4320"/>
          </w:tcPr>
          <w:p>
            <w:pPr>
              <w:bidi/>
              <w:jc w:val="start"/>
            </w:pPr>
            <w:r>
              <w:rPr>
                <w:rtl/>
              </w:rPr>
            </w:r>
            <w:r>
              <w:rPr>
                <w:rFonts w:ascii="Times New Roman" w:hAnsi="Times New Roman" w:cs="Times New Roman"/>
                <w:b w:val="0"/>
                <w:sz w:val="22"/>
                <w:rtl/>
              </w:rPr>
              <w:t>‏0‏</w:t>
            </w:r>
          </w:p>
        </w:tc>
      </w:tr>
      <w:tr>
        <w:trPr>
          <w:cantSplit/>
        </w:trPr>
        <w:tc>
          <w:tcPr>
            <w:tcW w:type="dxa" w:w="4320"/>
            <w:shd w:val="clear" w:color="auto" w:fill="FFF5EB"/>
          </w:tcPr>
          <w:p>
            <w:pPr>
              <w:bidi/>
              <w:jc w:val="start"/>
            </w:pPr>
            <w:r>
              <w:rPr>
                <w:rtl/>
              </w:rPr>
            </w:r>
            <w:r>
              <w:rPr>
                <w:rFonts w:ascii="Times New Roman" w:hAnsi="Times New Roman" w:cs="Times New Roman"/>
                <w:b/>
                <w:sz w:val="20"/>
                <w:rtl/>
              </w:rPr>
              <w:t>נאמנות לטיעון</w:t>
            </w:r>
          </w:p>
          <w:p>
            <w:pPr>
              <w:bidi/>
              <w:jc w:val="start"/>
            </w:pPr>
            <w:r>
              <w:rPr>
                <w:rFonts w:ascii="Times New Roman" w:hAnsi="Times New Roman" w:cs="Times New Roman"/>
                <w:color w:val="6B7280"/>
                <w:sz w:val="18"/>
                <w:rtl/>
              </w:rPr>
              <w:t>הטענות מתיישבות עם שלד הטיעון.</w:t>
            </w:r>
          </w:p>
        </w:tc>
        <w:tc>
          <w:tcPr>
            <w:tcW w:type="dxa" w:w="4320"/>
            <w:shd w:val="clear" w:color="auto" w:fill="FFF5EB"/>
          </w:tcPr>
          <w:p>
            <w:pPr>
              <w:bidi/>
              <w:jc w:val="start"/>
            </w:pPr>
            <w:r>
              <w:rPr>
                <w:rtl/>
              </w:rPr>
            </w:r>
            <w:r>
              <w:rPr>
                <w:rFonts w:ascii="Times New Roman" w:hAnsi="Times New Roman" w:cs="Times New Roman"/>
                <w:b w:val="0"/>
                <w:sz w:val="22"/>
                <w:rtl/>
              </w:rPr>
              <w:t>‏3‏</w:t>
            </w:r>
          </w:p>
        </w:tc>
      </w:tr>
      <w:tr>
        <w:trPr>
          <w:cantSplit/>
        </w:trPr>
        <w:tc>
          <w:tcPr>
            <w:tcW w:type="dxa" w:w="4320"/>
          </w:tcPr>
          <w:p>
            <w:pPr>
              <w:bidi/>
              <w:jc w:val="start"/>
            </w:pPr>
            <w:r>
              <w:rPr>
                <w:rtl/>
              </w:rPr>
            </w:r>
            <w:r>
              <w:rPr>
                <w:rFonts w:ascii="Times New Roman" w:hAnsi="Times New Roman" w:cs="Times New Roman"/>
                <w:b/>
                <w:sz w:val="20"/>
                <w:rtl/>
              </w:rPr>
              <w:t>איכות שפה</w:t>
            </w:r>
          </w:p>
          <w:p>
            <w:pPr>
              <w:bidi/>
              <w:jc w:val="start"/>
            </w:pPr>
            <w:r>
              <w:rPr>
                <w:rFonts w:ascii="Times New Roman" w:hAnsi="Times New Roman" w:cs="Times New Roman"/>
                <w:color w:val="6B7280"/>
                <w:sz w:val="18"/>
                <w:rtl/>
              </w:rPr>
              <w:t>שטף ילידי בשפה הנבחרת; ללא ארטיפקטים של תרגום; ללא רגיסטר ‏AI‏ גנרי.</w:t>
            </w:r>
          </w:p>
        </w:tc>
        <w:tc>
          <w:tcPr>
            <w:tcW w:type="dxa" w:w="4320"/>
          </w:tcPr>
          <w:p>
            <w:pPr>
              <w:bidi/>
              <w:jc w:val="start"/>
            </w:pPr>
            <w:r>
              <w:rPr>
                <w:rtl/>
              </w:rPr>
            </w:r>
            <w:r>
              <w:rPr>
                <w:rFonts w:ascii="Times New Roman" w:hAnsi="Times New Roman" w:cs="Times New Roman"/>
                <w:b w:val="0"/>
                <w:sz w:val="22"/>
                <w:rtl/>
              </w:rPr>
              <w:t>‏0‏</w:t>
            </w:r>
          </w:p>
        </w:tc>
      </w:tr>
    </w:tbl>
    <w:p>
      <w:pPr>
        <w:bidi/>
        <w:jc w:val="start"/>
      </w:pPr>
    </w:p>
    <w:p>
      <w:pPr>
        <w:bidi/>
        <w:jc w:val="start"/>
      </w:pPr>
      <w:r>
        <w:rPr>
          <w:rFonts w:ascii="Times New Roman" w:hAnsi="Times New Roman" w:cs="Times New Roman"/>
          <w:b/>
          <w:sz w:val="28"/>
          <w:rtl/>
        </w:rPr>
        <w:t>פירוט פר פרק</w:t>
      </w:r>
    </w:p>
    <w:p>
      <w:pPr>
        <w:bidi/>
        <w:jc w:val="start"/>
      </w:pPr>
      <w:r>
        <w:rPr>
          <w:rFonts w:ascii="Times New Roman" w:hAnsi="Times New Roman" w:cs="Times New Roman"/>
          <w:b w:val="0"/>
          <w:color w:val="6B7280"/>
          <w:sz w:val="20"/>
          <w:rtl/>
        </w:rPr>
        <w:t>ציון וממצאים פתוחים לכל פרק. "ממצאים" הם דברים שהסקירה האוטומטית סימנה.</w:t>
      </w:r>
    </w:p>
    <w:tbl>
      <w:tblPr>
        <w:tblStyle w:val="TableGrid"/>
        <w:bidiVisual/>
        <w:tblW w:type="auto" w:w="0"/>
        <w:jc w:val="center"/>
        <w:tblLook w:firstColumn="1" w:firstRow="1" w:lastColumn="0" w:lastRow="0" w:noHBand="0" w:noVBand="1" w:val="04A0"/>
      </w:tblPr>
      <w:tblGrid>
        <w:gridCol w:w="1728"/>
        <w:gridCol w:w="1728"/>
        <w:gridCol w:w="1728"/>
        <w:gridCol w:w="1728"/>
        <w:gridCol w:w="1728"/>
      </w:tblGrid>
      <w:tr>
        <w:trPr>
          <w:tblHeader/>
          <w:cantSplit/>
        </w:trPr>
        <w:tc>
          <w:tcPr>
            <w:tcW w:type="dxa" w:w="1728"/>
            <w:shd w:val="clear" w:color="auto" w:fill="FF7A00"/>
          </w:tcPr>
          <w:p>
            <w:pPr>
              <w:bidi/>
              <w:jc w:val="start"/>
            </w:pPr>
            <w:r>
              <w:rPr>
                <w:rtl/>
              </w:rPr>
            </w:r>
            <w:r>
              <w:rPr>
                <w:rFonts w:ascii="Times New Roman" w:hAnsi="Times New Roman" w:cs="Times New Roman"/>
                <w:b/>
                <w:color w:val="FFFFFF"/>
                <w:sz w:val="20"/>
                <w:rtl/>
              </w:rPr>
              <w:t>פרק</w:t>
            </w:r>
          </w:p>
        </w:tc>
        <w:tc>
          <w:tcPr>
            <w:tcW w:type="dxa" w:w="1008"/>
            <w:shd w:val="clear" w:color="auto" w:fill="FF7A00"/>
          </w:tcPr>
          <w:p>
            <w:pPr>
              <w:bidi/>
              <w:jc w:val="start"/>
            </w:pPr>
            <w:r>
              <w:rPr>
                <w:rtl/>
              </w:rPr>
            </w:r>
            <w:r>
              <w:rPr>
                <w:rFonts w:ascii="Times New Roman" w:hAnsi="Times New Roman" w:cs="Times New Roman"/>
                <w:b/>
                <w:color w:val="FFFFFF"/>
                <w:sz w:val="20"/>
                <w:rtl/>
              </w:rPr>
              <w:t>ציון</w:t>
            </w:r>
          </w:p>
        </w:tc>
        <w:tc>
          <w:tcPr>
            <w:tcW w:type="dxa" w:w="1584"/>
            <w:shd w:val="clear" w:color="auto" w:fill="FF7A00"/>
          </w:tcPr>
          <w:p>
            <w:pPr>
              <w:bidi/>
              <w:jc w:val="start"/>
            </w:pPr>
            <w:r>
              <w:rPr>
                <w:rtl/>
              </w:rPr>
            </w:r>
            <w:r>
              <w:rPr>
                <w:rFonts w:ascii="Times New Roman" w:hAnsi="Times New Roman" w:cs="Times New Roman"/>
                <w:b/>
                <w:color w:val="FFFFFF"/>
                <w:sz w:val="20"/>
                <w:rtl/>
              </w:rPr>
              <w:t>מיקום</w:t>
            </w:r>
          </w:p>
        </w:tc>
        <w:tc>
          <w:tcPr>
            <w:tcW w:type="dxa" w:w="1728"/>
            <w:shd w:val="clear" w:color="auto" w:fill="FF7A00"/>
          </w:tcPr>
          <w:p>
            <w:pPr>
              <w:bidi/>
              <w:jc w:val="start"/>
            </w:pPr>
            <w:r>
              <w:rPr>
                <w:rtl/>
              </w:rPr>
            </w:r>
            <w:r>
              <w:rPr>
                <w:rFonts w:ascii="Times New Roman" w:hAnsi="Times New Roman" w:cs="Times New Roman"/>
                <w:b/>
                <w:color w:val="FFFFFF"/>
                <w:sz w:val="20"/>
                <w:rtl/>
              </w:rPr>
              <w:t>ממד</w:t>
            </w:r>
          </w:p>
        </w:tc>
        <w:tc>
          <w:tcPr>
            <w:tcW w:type="dxa" w:w="3744"/>
            <w:shd w:val="clear" w:color="auto" w:fill="FF7A00"/>
          </w:tcPr>
          <w:p>
            <w:pPr>
              <w:bidi/>
              <w:jc w:val="start"/>
            </w:pPr>
            <w:r>
              <w:rPr>
                <w:rtl/>
              </w:rPr>
            </w:r>
            <w:r>
              <w:rPr>
                <w:rFonts w:ascii="Times New Roman" w:hAnsi="Times New Roman" w:cs="Times New Roman"/>
                <w:b/>
                <w:color w:val="FFFFFF"/>
                <w:sz w:val="20"/>
                <w:rtl/>
              </w:rPr>
              <w:t>תיקון מוצע</w:t>
            </w:r>
          </w:p>
        </w:tc>
      </w:tr>
      <w:tr>
        <w:trPr>
          <w:cantSplit/>
        </w:trPr>
        <w:tc>
          <w:tcPr>
            <w:tcW w:type="dxa" w:w="1728"/>
          </w:tcPr>
          <w:p>
            <w:pPr>
              <w:bidi/>
              <w:jc w:val="start"/>
            </w:pPr>
            <w:r>
              <w:rPr>
                <w:rtl/>
              </w:rPr>
            </w:r>
            <w:r>
              <w:rPr>
                <w:rFonts w:ascii="Times New Roman" w:hAnsi="Times New Roman" w:cs="Times New Roman"/>
                <w:b w:val="0"/>
                <w:sz w:val="20"/>
                <w:rtl/>
              </w:rPr>
              <w:t>‏abstract‏</w:t>
            </w:r>
          </w:p>
        </w:tc>
        <w:tc>
          <w:tcPr>
            <w:tcW w:type="dxa" w:w="1008"/>
          </w:tcPr>
          <w:p>
            <w:pPr>
              <w:bidi/>
              <w:jc w:val="start"/>
            </w:pPr>
            <w:r>
              <w:rPr>
                <w:rtl/>
              </w:rPr>
            </w:r>
            <w:r>
              <w:rPr>
                <w:rFonts w:ascii="Times New Roman" w:hAnsi="Times New Roman" w:cs="Times New Roman"/>
                <w:b w:val="0"/>
                <w:sz w:val="20"/>
                <w:rtl/>
              </w:rPr>
              <w:t>‏92‏/‏100‏</w:t>
            </w:r>
          </w:p>
        </w:tc>
        <w:tc>
          <w:tcPr>
            <w:tcW w:type="dxa" w:w="1584"/>
          </w:tcPr>
          <w:p>
            <w:pPr>
              <w:bidi/>
              <w:jc w:val="start"/>
            </w:pPr>
            <w:r>
              <w:rPr>
                <w:rtl/>
              </w:rPr>
            </w:r>
            <w:r>
              <w:rPr>
                <w:rFonts w:ascii="Times New Roman" w:hAnsi="Times New Roman" w:cs="Times New Roman"/>
                <w:b w:val="0"/>
                <w:sz w:val="20"/>
                <w:rtl/>
              </w:rPr>
              <w:t>‏Abstract‏, “‎Central Contributions‎”</w:t>
            </w:r>
          </w:p>
        </w:tc>
        <w:tc>
          <w:tcPr>
            <w:tcW w:type="dxa" w:w="1728"/>
          </w:tcPr>
          <w:p>
            <w:pPr>
              <w:bidi/>
              <w:jc w:val="start"/>
            </w:pPr>
            <w:r>
              <w:rPr>
                <w:rtl/>
              </w:rPr>
            </w:r>
            <w:r>
              <w:rPr>
                <w:rFonts w:ascii="Times New Roman" w:hAnsi="Times New Roman" w:cs="Times New Roman"/>
                <w:b w:val="0"/>
                <w:sz w:val="20"/>
                <w:rtl/>
              </w:rPr>
              <w:t>שמירת היקף</w:t>
            </w:r>
          </w:p>
        </w:tc>
        <w:tc>
          <w:tcPr>
            <w:tcW w:type="dxa" w:w="3744"/>
          </w:tcPr>
          <w:p>
            <w:pPr>
              <w:bidi/>
              <w:jc w:val="start"/>
            </w:pPr>
            <w:r>
              <w:rPr>
                <w:rtl/>
              </w:rPr>
            </w:r>
            <w:r>
              <w:rPr>
                <w:rFonts w:ascii="Times New Roman" w:hAnsi="Times New Roman" w:cs="Times New Roman"/>
                <w:b w:val="0"/>
                <w:sz w:val="20"/>
                <w:rtl/>
              </w:rPr>
              <w:t>‎For BA level‎, ‎simplify the theoretical vocabulary or add one plain-language sentence explaining‎ “‎epistemic delegation‎” ‏and‏ “‎assemblage-based accounts‎”.</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‏Abstract‏, “‎Topic and Argument‎”</w:t>
            </w:r>
          </w:p>
        </w:tc>
        <w:tc>
          <w:tcPr>
            <w:tcW w:type="dxa" w:w="1728"/>
            <w:shd w:val="clear" w:color="auto" w:fill="FFF5EB"/>
          </w:tcPr>
          <w:p>
            <w:pPr>
              <w:bidi/>
              <w:jc w:val="start"/>
            </w:pPr>
            <w:r>
              <w:rPr>
                <w:rtl/>
              </w:rPr>
            </w:r>
            <w:r>
              <w:rPr>
                <w:rFonts w:ascii="Times New Roman" w:hAnsi="Times New Roman" w:cs="Times New Roman"/>
                <w:b w:val="0"/>
                <w:sz w:val="20"/>
                <w:rtl/>
              </w:rPr>
              <w:t>ראיות</w:t>
            </w:r>
          </w:p>
        </w:tc>
        <w:tc>
          <w:tcPr>
            <w:tcW w:type="dxa" w:w="3744"/>
            <w:shd w:val="clear" w:color="auto" w:fill="FFF5EB"/>
          </w:tcPr>
          <w:p>
            <w:pPr>
              <w:bidi/>
              <w:jc w:val="start"/>
            </w:pPr>
            <w:r>
              <w:rPr>
                <w:rtl/>
              </w:rPr>
            </w:r>
            <w:r>
              <w:rPr>
                <w:rFonts w:ascii="Times New Roman" w:hAnsi="Times New Roman" w:cs="Times New Roman"/>
                <w:b w:val="0"/>
                <w:sz w:val="20"/>
                <w:rtl/>
              </w:rPr>
              <w:t>‎Ensure the strong synthetic claims made in the abstract are explicitly substantiated in the body‎, ‎since the abstract itself appropriately avoids citations‎.</w:t>
            </w:r>
          </w:p>
        </w:tc>
      </w:tr>
      <w:tr>
        <w:trPr>
          <w:cantSplit/>
        </w:trPr>
        <w:tc>
          <w:tcPr>
            <w:tcW w:type="dxa" w:w="1728"/>
          </w:tcPr>
          <w:p>
            <w:pPr>
              <w:bidi/>
              <w:jc w:val="start"/>
            </w:pPr>
            <w:r>
              <w:rPr>
                <w:rtl/>
              </w:rPr>
            </w:r>
            <w:r>
              <w:rPr>
                <w:rFonts w:ascii="Times New Roman" w:hAnsi="Times New Roman" w:cs="Times New Roman"/>
                <w:b w:val="0"/>
                <w:sz w:val="20"/>
                <w:rtl/>
              </w:rPr>
              <w:t>‏introduction‏</w:t>
            </w:r>
          </w:p>
        </w:tc>
        <w:tc>
          <w:tcPr>
            <w:tcW w:type="dxa" w:w="1008"/>
          </w:tcPr>
          <w:p>
            <w:pPr>
              <w:bidi/>
              <w:jc w:val="start"/>
            </w:pPr>
            <w:r>
              <w:rPr>
                <w:rtl/>
              </w:rPr>
            </w:r>
            <w:r>
              <w:rPr>
                <w:rFonts w:ascii="Times New Roman" w:hAnsi="Times New Roman" w:cs="Times New Roman"/>
                <w:b w:val="0"/>
                <w:sz w:val="20"/>
                <w:rtl/>
              </w:rPr>
              <w:t>‏91‏/‏100‏</w:t>
            </w:r>
          </w:p>
        </w:tc>
        <w:tc>
          <w:tcPr>
            <w:tcW w:type="dxa" w:w="1584"/>
          </w:tcPr>
          <w:p>
            <w:pPr>
              <w:bidi/>
              <w:jc w:val="start"/>
            </w:pPr>
            <w:r>
              <w:rPr>
                <w:rtl/>
              </w:rPr>
            </w:r>
            <w:r>
              <w:rPr>
                <w:rFonts w:ascii="Times New Roman" w:hAnsi="Times New Roman" w:cs="Times New Roman"/>
                <w:b w:val="0"/>
                <w:sz w:val="20"/>
                <w:rtl/>
              </w:rPr>
              <w:t>‏Introduction‏, ‏paragraph‏ ‏2‏</w:t>
            </w:r>
          </w:p>
        </w:tc>
        <w:tc>
          <w:tcPr>
            <w:tcW w:type="dxa" w:w="1728"/>
          </w:tcPr>
          <w:p>
            <w:pPr>
              <w:bidi/>
              <w:jc w:val="start"/>
            </w:pPr>
            <w:r>
              <w:rPr>
                <w:rtl/>
              </w:rPr>
            </w:r>
            <w:r>
              <w:rPr>
                <w:rFonts w:ascii="Times New Roman" w:hAnsi="Times New Roman" w:cs="Times New Roman"/>
                <w:b w:val="0"/>
                <w:sz w:val="20"/>
                <w:rtl/>
              </w:rPr>
              <w:t>ראיות</w:t>
            </w:r>
          </w:p>
        </w:tc>
        <w:tc>
          <w:tcPr>
            <w:tcW w:type="dxa" w:w="3744"/>
          </w:tcPr>
          <w:p>
            <w:pPr>
              <w:bidi/>
              <w:jc w:val="start"/>
            </w:pPr>
            <w:r>
              <w:rPr>
                <w:rtl/>
              </w:rPr>
            </w:r>
            <w:r>
              <w:rPr>
                <w:rFonts w:ascii="Times New Roman" w:hAnsi="Times New Roman" w:cs="Times New Roman"/>
                <w:b w:val="0"/>
                <w:sz w:val="20"/>
                <w:rtl/>
              </w:rPr>
              <w:t>‎Add citation markers for the claims about copyright doctrine‎, ‎intentionalist philosophy‎, ‎and posthumanist assemblage theory‎.</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‏Introduction‏, ‏paragraph‏ ‏3‏</w:t>
            </w:r>
          </w:p>
        </w:tc>
        <w:tc>
          <w:tcPr>
            <w:tcW w:type="dxa" w:w="1728"/>
            <w:shd w:val="clear" w:color="auto" w:fill="FFF5EB"/>
          </w:tcPr>
          <w:p>
            <w:pPr>
              <w:bidi/>
              <w:jc w:val="start"/>
            </w:pPr>
            <w:r>
              <w:rPr>
                <w:rtl/>
              </w:rPr>
            </w:r>
            <w:r>
              <w:rPr>
                <w:rFonts w:ascii="Times New Roman" w:hAnsi="Times New Roman" w:cs="Times New Roman"/>
                <w:b w:val="0"/>
                <w:sz w:val="20"/>
                <w:rtl/>
              </w:rPr>
              <w:t>שמירת היקף</w:t>
            </w:r>
          </w:p>
        </w:tc>
        <w:tc>
          <w:tcPr>
            <w:tcW w:type="dxa" w:w="3744"/>
            <w:shd w:val="clear" w:color="auto" w:fill="FFF5EB"/>
          </w:tcPr>
          <w:p>
            <w:pPr>
              <w:bidi/>
              <w:jc w:val="start"/>
            </w:pPr>
            <w:r>
              <w:rPr>
                <w:rtl/>
              </w:rPr>
            </w:r>
            <w:r>
              <w:rPr>
                <w:rFonts w:ascii="Times New Roman" w:hAnsi="Times New Roman" w:cs="Times New Roman"/>
                <w:b w:val="0"/>
                <w:sz w:val="20"/>
                <w:rtl/>
              </w:rPr>
              <w:t>‎The five-claim thesis is conceptually dense for BA level‎; ‎add clearer signposting and define key terms before using them analytically‎.</w:t>
            </w:r>
          </w:p>
        </w:tc>
      </w:tr>
      <w:tr>
        <w:trPr>
          <w:cantSplit/>
        </w:trPr>
        <w:tc>
          <w:tcPr>
            <w:tcW w:type="dxa" w:w="1728"/>
          </w:tcPr>
          <w:p>
            <w:pPr>
              <w:bidi/>
              <w:jc w:val="start"/>
            </w:pPr>
            <w:r>
              <w:rPr>
                <w:rtl/>
              </w:rPr>
            </w:r>
            <w:r>
              <w:rPr>
                <w:rFonts w:ascii="Times New Roman" w:hAnsi="Times New Roman" w:cs="Times New Roman"/>
                <w:b w:val="0"/>
                <w:sz w:val="20"/>
                <w:rtl/>
              </w:rPr>
              <w:t>‏literature_review‏</w:t>
            </w:r>
          </w:p>
        </w:tc>
        <w:tc>
          <w:tcPr>
            <w:tcW w:type="dxa" w:w="1008"/>
          </w:tcPr>
          <w:p>
            <w:pPr>
              <w:bidi/>
              <w:jc w:val="start"/>
            </w:pPr>
            <w:r>
              <w:rPr>
                <w:rtl/>
              </w:rPr>
            </w:r>
            <w:r>
              <w:rPr>
                <w:rFonts w:ascii="Times New Roman" w:hAnsi="Times New Roman" w:cs="Times New Roman"/>
                <w:b w:val="0"/>
                <w:sz w:val="20"/>
                <w:rtl/>
              </w:rPr>
              <w:t>‏84‏/‏100‏</w:t>
            </w:r>
          </w:p>
        </w:tc>
        <w:tc>
          <w:tcPr>
            <w:tcW w:type="dxa" w:w="1584"/>
          </w:tcPr>
          <w:p>
            <w:pPr>
              <w:bidi/>
              <w:jc w:val="start"/>
            </w:pPr>
            <w:r>
              <w:rPr>
                <w:rtl/>
              </w:rPr>
            </w:r>
            <w:r>
              <w:rPr>
                <w:rFonts w:ascii="Times New Roman" w:hAnsi="Times New Roman" w:cs="Times New Roman"/>
                <w:b w:val="0"/>
                <w:sz w:val="20"/>
                <w:rtl/>
              </w:rPr>
              <w:t>‎Authorship as Spectrum‎, ‏paragraph‏ ‏1‏</w:t>
            </w:r>
          </w:p>
        </w:tc>
        <w:tc>
          <w:tcPr>
            <w:tcW w:type="dxa" w:w="1728"/>
          </w:tcPr>
          <w:p>
            <w:pPr>
              <w:bidi/>
              <w:jc w:val="start"/>
            </w:pPr>
            <w:r>
              <w:rPr>
                <w:rtl/>
              </w:rPr>
            </w:r>
            <w:r>
              <w:rPr>
                <w:rFonts w:ascii="Times New Roman" w:hAnsi="Times New Roman" w:cs="Times New Roman"/>
                <w:b w:val="0"/>
                <w:sz w:val="20"/>
                <w:rtl/>
              </w:rPr>
              <w:t>אינטגריטי של ציטוטים</w:t>
            </w:r>
          </w:p>
        </w:tc>
        <w:tc>
          <w:tcPr>
            <w:tcW w:type="dxa" w:w="3744"/>
          </w:tcPr>
          <w:p>
            <w:pPr>
              <w:bidi/>
              <w:jc w:val="start"/>
            </w:pPr>
            <w:r>
              <w:rPr>
                <w:rtl/>
              </w:rPr>
            </w:r>
            <w:r>
              <w:rPr>
                <w:rFonts w:ascii="Times New Roman" w:hAnsi="Times New Roman" w:cs="Times New Roman"/>
                <w:b w:val="0"/>
                <w:sz w:val="20"/>
                <w:rtl/>
              </w:rPr>
              <w:t>‎Replace invalid markers such as [found:001] and [found:002], and check that [the cited source] and [the cited source]‎ ‎actually support the claims attributed to them‎.</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‎Authorship as Spectrum‎, ‏paragraph‏ ‏3‏</w:t>
            </w:r>
          </w:p>
        </w:tc>
        <w:tc>
          <w:tcPr>
            <w:tcW w:type="dxa" w:w="1728"/>
            <w:shd w:val="clear" w:color="auto" w:fill="FFF5EB"/>
          </w:tcPr>
          <w:p>
            <w:pPr>
              <w:bidi/>
              <w:jc w:val="start"/>
            </w:pPr>
            <w:r>
              <w:rPr>
                <w:rtl/>
              </w:rPr>
            </w:r>
            <w:r>
              <w:rPr>
                <w:rFonts w:ascii="Times New Roman" w:hAnsi="Times New Roman" w:cs="Times New Roman"/>
                <w:b w:val="0"/>
                <w:sz w:val="20"/>
                <w:rtl/>
              </w:rPr>
              <w:t>ראיות</w:t>
            </w:r>
          </w:p>
        </w:tc>
        <w:tc>
          <w:tcPr>
            <w:tcW w:type="dxa" w:w="3744"/>
            <w:shd w:val="clear" w:color="auto" w:fill="FFF5EB"/>
          </w:tcPr>
          <w:p>
            <w:pPr>
              <w:bidi/>
              <w:jc w:val="start"/>
            </w:pPr>
            <w:r>
              <w:rPr>
                <w:rtl/>
              </w:rPr>
            </w:r>
            <w:r>
              <w:rPr>
                <w:rFonts w:ascii="Times New Roman" w:hAnsi="Times New Roman" w:cs="Times New Roman"/>
                <w:b w:val="0"/>
                <w:sz w:val="20"/>
                <w:rtl/>
              </w:rPr>
              <w:t>‎Add verified citations for the posthumanist claim that agency is an emergent property of assemblages‎.</w:t>
            </w:r>
          </w:p>
        </w:tc>
      </w:tr>
      <w:tr>
        <w:trPr>
          <w:cantSplit/>
        </w:trPr>
        <w:tc>
          <w:tcPr>
            <w:tcW w:type="dxa" w:w="1728"/>
          </w:tcPr>
          <w:p>
            <w:pPr>
              <w:bidi/>
              <w:jc w:val="start"/>
            </w:pPr>
            <w:r>
              <w:rPr>
                <w:rtl/>
              </w:rPr>
            </w:r>
            <w:r>
              <w:rPr>
                <w:rFonts w:ascii="Times New Roman" w:hAnsi="Times New Roman" w:cs="Times New Roman"/>
                <w:b w:val="0"/>
                <w:sz w:val="20"/>
                <w:rtl/>
              </w:rPr>
            </w:r>
          </w:p>
        </w:tc>
        <w:tc>
          <w:tcPr>
            <w:tcW w:type="dxa" w:w="1008"/>
          </w:tcPr>
          <w:p>
            <w:pPr>
              <w:bidi/>
              <w:jc w:val="start"/>
            </w:pPr>
            <w:r>
              <w:rPr>
                <w:rtl/>
              </w:rPr>
            </w:r>
            <w:r>
              <w:rPr>
                <w:rFonts w:ascii="Times New Roman" w:hAnsi="Times New Roman" w:cs="Times New Roman"/>
                <w:b w:val="0"/>
                <w:sz w:val="20"/>
                <w:rtl/>
              </w:rPr>
            </w:r>
          </w:p>
        </w:tc>
        <w:tc>
          <w:tcPr>
            <w:tcW w:type="dxa" w:w="1584"/>
          </w:tcPr>
          <w:p>
            <w:pPr>
              <w:bidi/>
              <w:jc w:val="start"/>
            </w:pPr>
            <w:r>
              <w:rPr>
                <w:rtl/>
              </w:rPr>
            </w:r>
            <w:r>
              <w:rPr>
                <w:rFonts w:ascii="Times New Roman" w:hAnsi="Times New Roman" w:cs="Times New Roman"/>
                <w:b w:val="0"/>
                <w:sz w:val="20"/>
                <w:rtl/>
              </w:rPr>
              <w:t>‎Legal and Institutional Frameworks Under Pressure‎</w:t>
            </w:r>
          </w:p>
        </w:tc>
        <w:tc>
          <w:tcPr>
            <w:tcW w:type="dxa" w:w="1728"/>
          </w:tcPr>
          <w:p>
            <w:pPr>
              <w:bidi/>
              <w:jc w:val="start"/>
            </w:pPr>
            <w:r>
              <w:rPr>
                <w:rtl/>
              </w:rPr>
            </w:r>
            <w:r>
              <w:rPr>
                <w:rFonts w:ascii="Times New Roman" w:hAnsi="Times New Roman" w:cs="Times New Roman"/>
                <w:b w:val="0"/>
                <w:sz w:val="20"/>
                <w:rtl/>
              </w:rPr>
              <w:t>נאמנות לטיעון</w:t>
            </w:r>
          </w:p>
        </w:tc>
        <w:tc>
          <w:tcPr>
            <w:tcW w:type="dxa" w:w="3744"/>
          </w:tcPr>
          <w:p>
            <w:pPr>
              <w:bidi/>
              <w:jc w:val="start"/>
            </w:pPr>
            <w:r>
              <w:rPr>
                <w:rtl/>
              </w:rPr>
            </w:r>
            <w:r>
              <w:rPr>
                <w:rFonts w:ascii="Times New Roman" w:hAnsi="Times New Roman" w:cs="Times New Roman"/>
                <w:b w:val="0"/>
                <w:sz w:val="20"/>
                <w:rtl/>
              </w:rPr>
              <w:t>‎Integrate the plan’s legal-copyright evidence more directly‎, ‎especially the sources on originality‎, ‏personhood‏, ‎and jurisdictional uncertainty‎.</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‎Literature Review overall‎</w:t>
            </w:r>
          </w:p>
        </w:tc>
        <w:tc>
          <w:tcPr>
            <w:tcW w:type="dxa" w:w="1728"/>
            <w:shd w:val="clear" w:color="auto" w:fill="FFF5EB"/>
          </w:tcPr>
          <w:p>
            <w:pPr>
              <w:bidi/>
              <w:jc w:val="start"/>
            </w:pPr>
            <w:r>
              <w:rPr>
                <w:rtl/>
              </w:rPr>
            </w:r>
            <w:r>
              <w:rPr>
                <w:rFonts w:ascii="Times New Roman" w:hAnsi="Times New Roman" w:cs="Times New Roman"/>
                <w:b w:val="0"/>
                <w:sz w:val="20"/>
                <w:rtl/>
              </w:rPr>
              <w:t>שמירת היקף</w:t>
            </w:r>
          </w:p>
        </w:tc>
        <w:tc>
          <w:tcPr>
            <w:tcW w:type="dxa" w:w="3744"/>
            <w:shd w:val="clear" w:color="auto" w:fill="FFF5EB"/>
          </w:tcPr>
          <w:p>
            <w:pPr>
              <w:bidi/>
              <w:jc w:val="start"/>
            </w:pPr>
            <w:r>
              <w:rPr>
                <w:rtl/>
              </w:rPr>
            </w:r>
            <w:r>
              <w:rPr>
                <w:rFonts w:ascii="Times New Roman" w:hAnsi="Times New Roman" w:cs="Times New Roman"/>
                <w:b w:val="0"/>
                <w:sz w:val="20"/>
                <w:rtl/>
              </w:rPr>
              <w:t>‎For BA level‎, ‎reduce abstraction by adding short explanatory bridges between author-function theory‎, ‎copyright law‎, ‎and academic integrity practice‎.</w:t>
            </w:r>
          </w:p>
        </w:tc>
      </w:tr>
      <w:tr>
        <w:trPr>
          <w:cantSplit/>
        </w:trPr>
        <w:tc>
          <w:tcPr>
            <w:tcW w:type="dxa" w:w="1728"/>
          </w:tcPr>
          <w:p>
            <w:pPr>
              <w:bidi/>
              <w:jc w:val="start"/>
            </w:pPr>
            <w:r>
              <w:rPr>
                <w:rtl/>
              </w:rPr>
            </w:r>
            <w:r>
              <w:rPr>
                <w:rFonts w:ascii="Times New Roman" w:hAnsi="Times New Roman" w:cs="Times New Roman"/>
                <w:b w:val="0"/>
                <w:sz w:val="20"/>
                <w:rtl/>
              </w:rPr>
              <w:t>‏discussion‏</w:t>
            </w:r>
          </w:p>
        </w:tc>
        <w:tc>
          <w:tcPr>
            <w:tcW w:type="dxa" w:w="1008"/>
          </w:tcPr>
          <w:p>
            <w:pPr>
              <w:bidi/>
              <w:jc w:val="start"/>
            </w:pPr>
            <w:r>
              <w:rPr>
                <w:rtl/>
              </w:rPr>
            </w:r>
            <w:r>
              <w:rPr>
                <w:rFonts w:ascii="Times New Roman" w:hAnsi="Times New Roman" w:cs="Times New Roman"/>
                <w:b w:val="0"/>
                <w:sz w:val="20"/>
                <w:rtl/>
              </w:rPr>
              <w:t>‏88‏/‏100‏</w:t>
            </w:r>
          </w:p>
        </w:tc>
        <w:tc>
          <w:tcPr>
            <w:tcW w:type="dxa" w:w="1584"/>
          </w:tcPr>
          <w:p>
            <w:pPr>
              <w:bidi/>
              <w:jc w:val="start"/>
            </w:pPr>
            <w:r>
              <w:rPr>
                <w:rtl/>
              </w:rPr>
            </w:r>
            <w:r>
              <w:rPr>
                <w:rFonts w:ascii="Times New Roman" w:hAnsi="Times New Roman" w:cs="Times New Roman"/>
                <w:b w:val="0"/>
                <w:sz w:val="20"/>
                <w:rtl/>
              </w:rPr>
              <w:t>‎Theoretical Synthesis‎, ‏paragraph‏ ‏3‏</w:t>
            </w:r>
          </w:p>
        </w:tc>
        <w:tc>
          <w:tcPr>
            <w:tcW w:type="dxa" w:w="1728"/>
          </w:tcPr>
          <w:p>
            <w:pPr>
              <w:bidi/>
              <w:jc w:val="start"/>
            </w:pPr>
            <w:r>
              <w:rPr>
                <w:rtl/>
              </w:rPr>
            </w:r>
            <w:r>
              <w:rPr>
                <w:rFonts w:ascii="Times New Roman" w:hAnsi="Times New Roman" w:cs="Times New Roman"/>
                <w:b w:val="0"/>
                <w:sz w:val="20"/>
                <w:rtl/>
              </w:rPr>
              <w:t>נאמנות לטיעון</w:t>
            </w:r>
          </w:p>
        </w:tc>
        <w:tc>
          <w:tcPr>
            <w:tcW w:type="dxa" w:w="3744"/>
          </w:tcPr>
          <w:p>
            <w:pPr>
              <w:bidi/>
              <w:jc w:val="start"/>
            </w:pPr>
            <w:r>
              <w:rPr>
                <w:rtl/>
              </w:rPr>
            </w:r>
            <w:r>
              <w:rPr>
                <w:rFonts w:ascii="Times New Roman" w:hAnsi="Times New Roman" w:cs="Times New Roman"/>
                <w:b w:val="0"/>
                <w:sz w:val="20"/>
                <w:rtl/>
              </w:rPr>
              <w:t>‎The continuum argument should cite the plan-aligned evidence on epistemic delegation‎, ‎AI agency‎, ‎and disclosure more explicitly‎.</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‎Position within the Field‎, ‏paragraph‏ ‏1‏</w:t>
            </w:r>
          </w:p>
        </w:tc>
        <w:tc>
          <w:tcPr>
            <w:tcW w:type="dxa" w:w="1728"/>
            <w:shd w:val="clear" w:color="auto" w:fill="FFF5EB"/>
          </w:tcPr>
          <w:p>
            <w:pPr>
              <w:bidi/>
              <w:jc w:val="start"/>
            </w:pPr>
            <w:r>
              <w:rPr>
                <w:rtl/>
              </w:rPr>
            </w:r>
            <w:r>
              <w:rPr>
                <w:rFonts w:ascii="Times New Roman" w:hAnsi="Times New Roman" w:cs="Times New Roman"/>
                <w:b w:val="0"/>
                <w:sz w:val="20"/>
                <w:rtl/>
              </w:rPr>
              <w:t>ראיות</w:t>
            </w:r>
          </w:p>
        </w:tc>
        <w:tc>
          <w:tcPr>
            <w:tcW w:type="dxa" w:w="3744"/>
            <w:shd w:val="clear" w:color="auto" w:fill="FFF5EB"/>
          </w:tcPr>
          <w:p>
            <w:pPr>
              <w:bidi/>
              <w:jc w:val="start"/>
            </w:pPr>
            <w:r>
              <w:rPr>
                <w:rtl/>
              </w:rPr>
            </w:r>
            <w:r>
              <w:rPr>
                <w:rFonts w:ascii="Times New Roman" w:hAnsi="Times New Roman" w:cs="Times New Roman"/>
                <w:b w:val="0"/>
                <w:sz w:val="20"/>
                <w:rtl/>
              </w:rPr>
              <w:t>‎Add citation markers after‎ “‎Rodrigues (2025)‎ ‎and Israel and Amer‎” ‎and after the claims attributed to Adema and Zeilinger‎.</w:t>
            </w:r>
          </w:p>
        </w:tc>
      </w:tr>
      <w:tr>
        <w:trPr>
          <w:cantSplit/>
        </w:trPr>
        <w:tc>
          <w:tcPr>
            <w:tcW w:type="dxa" w:w="1728"/>
          </w:tcPr>
          <w:p>
            <w:pPr>
              <w:bidi/>
              <w:jc w:val="start"/>
            </w:pPr>
            <w:r>
              <w:rPr>
                <w:rtl/>
              </w:rPr>
            </w:r>
            <w:r>
              <w:rPr>
                <w:rFonts w:ascii="Times New Roman" w:hAnsi="Times New Roman" w:cs="Times New Roman"/>
                <w:b w:val="0"/>
                <w:sz w:val="20"/>
                <w:rtl/>
              </w:rPr>
            </w:r>
          </w:p>
        </w:tc>
        <w:tc>
          <w:tcPr>
            <w:tcW w:type="dxa" w:w="1008"/>
          </w:tcPr>
          <w:p>
            <w:pPr>
              <w:bidi/>
              <w:jc w:val="start"/>
            </w:pPr>
            <w:r>
              <w:rPr>
                <w:rtl/>
              </w:rPr>
            </w:r>
            <w:r>
              <w:rPr>
                <w:rFonts w:ascii="Times New Roman" w:hAnsi="Times New Roman" w:cs="Times New Roman"/>
                <w:b w:val="0"/>
                <w:sz w:val="20"/>
                <w:rtl/>
              </w:rPr>
            </w:r>
          </w:p>
        </w:tc>
        <w:tc>
          <w:tcPr>
            <w:tcW w:type="dxa" w:w="1584"/>
          </w:tcPr>
          <w:p>
            <w:pPr>
              <w:bidi/>
              <w:jc w:val="start"/>
            </w:pPr>
            <w:r>
              <w:rPr>
                <w:rtl/>
              </w:rPr>
            </w:r>
            <w:r>
              <w:rPr>
                <w:rFonts w:ascii="Times New Roman" w:hAnsi="Times New Roman" w:cs="Times New Roman"/>
                <w:b w:val="0"/>
                <w:sz w:val="20"/>
                <w:rtl/>
              </w:rPr>
              <w:t>‎Theoretical Contribution‎, ‏paragraph‏ ‏3‏</w:t>
            </w:r>
          </w:p>
        </w:tc>
        <w:tc>
          <w:tcPr>
            <w:tcW w:type="dxa" w:w="1728"/>
          </w:tcPr>
          <w:p>
            <w:pPr>
              <w:bidi/>
              <w:jc w:val="start"/>
            </w:pPr>
            <w:r>
              <w:rPr>
                <w:rtl/>
              </w:rPr>
            </w:r>
            <w:r>
              <w:rPr>
                <w:rFonts w:ascii="Times New Roman" w:hAnsi="Times New Roman" w:cs="Times New Roman"/>
                <w:b w:val="0"/>
                <w:sz w:val="20"/>
                <w:rtl/>
              </w:rPr>
              <w:t>סגנון אקדמי</w:t>
            </w:r>
          </w:p>
        </w:tc>
        <w:tc>
          <w:tcPr>
            <w:tcW w:type="dxa" w:w="3744"/>
          </w:tcPr>
          <w:p>
            <w:pPr>
              <w:bidi/>
              <w:jc w:val="start"/>
            </w:pPr>
            <w:r>
              <w:rPr>
                <w:rtl/>
              </w:rPr>
            </w:r>
            <w:r>
              <w:rPr>
                <w:rFonts w:ascii="Times New Roman" w:hAnsi="Times New Roman" w:cs="Times New Roman"/>
                <w:b w:val="0"/>
                <w:sz w:val="20"/>
                <w:rtl/>
              </w:rPr>
              <w:t>‎Replace formulaic phrasing such as‎ “‎It is important to be explicit‎” ‎with a direct academic claim‎.</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r>
          </w:p>
        </w:tc>
        <w:tc>
          <w:tcPr>
            <w:tcW w:type="dxa" w:w="1008"/>
            <w:shd w:val="clear" w:color="auto" w:fill="FFF5EB"/>
          </w:tcPr>
          <w:p>
            <w:pPr>
              <w:bidi/>
              <w:jc w:val="start"/>
            </w:pPr>
            <w:r>
              <w:rPr>
                <w:rtl/>
              </w:rPr>
            </w:r>
            <w:r>
              <w:rPr>
                <w:rFonts w:ascii="Times New Roman" w:hAnsi="Times New Roman" w:cs="Times New Roman"/>
                <w:b w:val="0"/>
                <w:sz w:val="20"/>
                <w:rtl/>
              </w:rPr>
            </w:r>
          </w:p>
        </w:tc>
        <w:tc>
          <w:tcPr>
            <w:tcW w:type="dxa" w:w="1584"/>
            <w:shd w:val="clear" w:color="auto" w:fill="FFF5EB"/>
          </w:tcPr>
          <w:p>
            <w:pPr>
              <w:bidi/>
              <w:jc w:val="start"/>
            </w:pPr>
            <w:r>
              <w:rPr>
                <w:rtl/>
              </w:rPr>
            </w:r>
            <w:r>
              <w:rPr>
                <w:rFonts w:ascii="Times New Roman" w:hAnsi="Times New Roman" w:cs="Times New Roman"/>
                <w:b w:val="0"/>
                <w:sz w:val="20"/>
                <w:rtl/>
              </w:rPr>
              <w:t>‎Discussion overall‎</w:t>
            </w:r>
          </w:p>
        </w:tc>
        <w:tc>
          <w:tcPr>
            <w:tcW w:type="dxa" w:w="1728"/>
            <w:shd w:val="clear" w:color="auto" w:fill="FFF5EB"/>
          </w:tcPr>
          <w:p>
            <w:pPr>
              <w:bidi/>
              <w:jc w:val="start"/>
            </w:pPr>
            <w:r>
              <w:rPr>
                <w:rtl/>
              </w:rPr>
            </w:r>
            <w:r>
              <w:rPr>
                <w:rFonts w:ascii="Times New Roman" w:hAnsi="Times New Roman" w:cs="Times New Roman"/>
                <w:b w:val="0"/>
                <w:sz w:val="20"/>
                <w:rtl/>
              </w:rPr>
              <w:t>שמירת היקף</w:t>
            </w:r>
          </w:p>
        </w:tc>
        <w:tc>
          <w:tcPr>
            <w:tcW w:type="dxa" w:w="3744"/>
            <w:shd w:val="clear" w:color="auto" w:fill="FFF5EB"/>
          </w:tcPr>
          <w:p>
            <w:pPr>
              <w:bidi/>
              <w:jc w:val="start"/>
            </w:pPr>
            <w:r>
              <w:rPr>
                <w:rtl/>
              </w:rPr>
            </w:r>
            <w:r>
              <w:rPr>
                <w:rFonts w:ascii="Times New Roman" w:hAnsi="Times New Roman" w:cs="Times New Roman"/>
                <w:b w:val="0"/>
                <w:sz w:val="20"/>
                <w:rtl/>
              </w:rPr>
              <w:t>‎The section reads closer to MA-level theoretical synthesis‎; ‎add more descriptive explanation if the submission must remain BA-level‎.</w:t>
            </w:r>
          </w:p>
        </w:tc>
      </w:tr>
      <w:tr>
        <w:trPr>
          <w:cantSplit/>
        </w:trPr>
        <w:tc>
          <w:tcPr>
            <w:tcW w:type="dxa" w:w="1728"/>
          </w:tcPr>
          <w:p>
            <w:pPr>
              <w:bidi/>
              <w:jc w:val="start"/>
            </w:pPr>
            <w:r>
              <w:rPr>
                <w:rtl/>
              </w:rPr>
            </w:r>
            <w:r>
              <w:rPr>
                <w:rFonts w:ascii="Times New Roman" w:hAnsi="Times New Roman" w:cs="Times New Roman"/>
                <w:b w:val="0"/>
                <w:sz w:val="20"/>
                <w:rtl/>
              </w:rPr>
              <w:t>‏limitations‏</w:t>
            </w:r>
          </w:p>
        </w:tc>
        <w:tc>
          <w:tcPr>
            <w:tcW w:type="dxa" w:w="1008"/>
          </w:tcPr>
          <w:p>
            <w:pPr>
              <w:bidi/>
              <w:jc w:val="start"/>
            </w:pPr>
            <w:r>
              <w:rPr>
                <w:rtl/>
              </w:rPr>
            </w:r>
            <w:r>
              <w:rPr>
                <w:rFonts w:ascii="Times New Roman" w:hAnsi="Times New Roman" w:cs="Times New Roman"/>
                <w:b w:val="0"/>
                <w:sz w:val="20"/>
                <w:rtl/>
              </w:rPr>
              <w:t>‏93‏/‏100‏</w:t>
            </w:r>
          </w:p>
        </w:tc>
        <w:tc>
          <w:tcPr>
            <w:tcW w:type="dxa" w:w="1584"/>
          </w:tcPr>
          <w:p>
            <w:pPr>
              <w:bidi/>
              <w:jc w:val="start"/>
            </w:pPr>
            <w:r>
              <w:rPr>
                <w:rtl/>
              </w:rPr>
            </w:r>
            <w:r>
              <w:rPr>
                <w:rFonts w:ascii="Times New Roman" w:hAnsi="Times New Roman" w:cs="Times New Roman"/>
                <w:b w:val="0"/>
                <w:sz w:val="20"/>
                <w:rtl/>
              </w:rPr>
              <w:t>‏Limitations‏, ‏paragraphs‏ ‏1‏–‏3‏</w:t>
            </w:r>
          </w:p>
        </w:tc>
        <w:tc>
          <w:tcPr>
            <w:tcW w:type="dxa" w:w="1728"/>
          </w:tcPr>
          <w:p>
            <w:pPr>
              <w:bidi/>
              <w:jc w:val="start"/>
            </w:pPr>
            <w:r>
              <w:rPr>
                <w:rtl/>
              </w:rPr>
            </w:r>
            <w:r>
              <w:rPr>
                <w:rFonts w:ascii="Times New Roman" w:hAnsi="Times New Roman" w:cs="Times New Roman"/>
                <w:b w:val="0"/>
                <w:sz w:val="20"/>
                <w:rtl/>
              </w:rPr>
              <w:t>שלמות</w:t>
            </w:r>
          </w:p>
        </w:tc>
        <w:tc>
          <w:tcPr>
            <w:tcW w:type="dxa" w:w="3744"/>
          </w:tcPr>
          <w:p>
            <w:pPr>
              <w:bidi/>
              <w:jc w:val="start"/>
            </w:pPr>
            <w:r>
              <w:rPr>
                <w:rtl/>
              </w:rPr>
            </w:r>
            <w:r>
              <w:rPr>
                <w:rFonts w:ascii="Times New Roman" w:hAnsi="Times New Roman" w:cs="Times New Roman"/>
                <w:b w:val="0"/>
                <w:sz w:val="20"/>
                <w:rtl/>
              </w:rPr>
              <w:t>‎State any mitigation steps used in source selection and indicate how the Western‎/‎theoretical corpus may bias the argument’s conclusions‎.</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t>‏future_research‏</w:t>
            </w:r>
          </w:p>
        </w:tc>
        <w:tc>
          <w:tcPr>
            <w:tcW w:type="dxa" w:w="1008"/>
            <w:shd w:val="clear" w:color="auto" w:fill="FFF5EB"/>
          </w:tcPr>
          <w:p>
            <w:pPr>
              <w:bidi/>
              <w:jc w:val="start"/>
            </w:pPr>
            <w:r>
              <w:rPr>
                <w:rtl/>
              </w:rPr>
            </w:r>
            <w:r>
              <w:rPr>
                <w:rFonts w:ascii="Times New Roman" w:hAnsi="Times New Roman" w:cs="Times New Roman"/>
                <w:b w:val="0"/>
                <w:sz w:val="20"/>
                <w:rtl/>
              </w:rPr>
              <w:t>‏92‏/‏100‏</w:t>
            </w:r>
          </w:p>
        </w:tc>
        <w:tc>
          <w:tcPr>
            <w:tcW w:type="dxa" w:w="1584"/>
            <w:shd w:val="clear" w:color="auto" w:fill="FFF5EB"/>
          </w:tcPr>
          <w:p>
            <w:pPr>
              <w:bidi/>
              <w:jc w:val="start"/>
            </w:pPr>
            <w:r>
              <w:rPr>
                <w:rtl/>
              </w:rPr>
            </w:r>
            <w:r>
              <w:rPr>
                <w:rFonts w:ascii="Times New Roman" w:hAnsi="Times New Roman" w:cs="Times New Roman"/>
                <w:b w:val="0"/>
                <w:sz w:val="20"/>
                <w:rtl/>
              </w:rPr>
              <w:t>‎Future Research‎, ‏paragraph‏ ‏2‏</w:t>
            </w:r>
          </w:p>
        </w:tc>
        <w:tc>
          <w:tcPr>
            <w:tcW w:type="dxa" w:w="1728"/>
            <w:shd w:val="clear" w:color="auto" w:fill="FFF5EB"/>
          </w:tcPr>
          <w:p>
            <w:pPr>
              <w:bidi/>
              <w:jc w:val="start"/>
            </w:pPr>
            <w:r>
              <w:rPr>
                <w:rtl/>
              </w:rPr>
            </w:r>
            <w:r>
              <w:rPr>
                <w:rFonts w:ascii="Times New Roman" w:hAnsi="Times New Roman" w:cs="Times New Roman"/>
                <w:b w:val="0"/>
                <w:sz w:val="20"/>
                <w:rtl/>
              </w:rPr>
              <w:t>נאמנות לטיעון</w:t>
            </w:r>
          </w:p>
        </w:tc>
        <w:tc>
          <w:tcPr>
            <w:tcW w:type="dxa" w:w="3744"/>
            <w:shd w:val="clear" w:color="auto" w:fill="FFF5EB"/>
          </w:tcPr>
          <w:p>
            <w:pPr>
              <w:bidi/>
              <w:jc w:val="start"/>
            </w:pPr>
            <w:r>
              <w:rPr>
                <w:rtl/>
              </w:rPr>
            </w:r>
            <w:r>
              <w:rPr>
                <w:rFonts w:ascii="Times New Roman" w:hAnsi="Times New Roman" w:cs="Times New Roman"/>
                <w:b w:val="0"/>
                <w:sz w:val="20"/>
                <w:rtl/>
              </w:rPr>
              <w:t>‎Add a sentence calling for cross-cultural‎, ‏multilingual‏, ‎or Global South studies‎, ‎matching the limitation identified in the discussion‎.</w:t>
            </w:r>
          </w:p>
        </w:tc>
      </w:tr>
      <w:tr>
        <w:trPr>
          <w:cantSplit/>
        </w:trPr>
        <w:tc>
          <w:tcPr>
            <w:tcW w:type="dxa" w:w="1728"/>
          </w:tcPr>
          <w:p>
            <w:pPr>
              <w:bidi/>
              <w:jc w:val="start"/>
            </w:pPr>
            <w:r>
              <w:rPr>
                <w:rtl/>
              </w:rPr>
            </w:r>
            <w:r>
              <w:rPr>
                <w:rFonts w:ascii="Times New Roman" w:hAnsi="Times New Roman" w:cs="Times New Roman"/>
                <w:b w:val="0"/>
                <w:sz w:val="20"/>
                <w:rtl/>
              </w:rPr>
            </w:r>
          </w:p>
        </w:tc>
        <w:tc>
          <w:tcPr>
            <w:tcW w:type="dxa" w:w="1008"/>
          </w:tcPr>
          <w:p>
            <w:pPr>
              <w:bidi/>
              <w:jc w:val="start"/>
            </w:pPr>
            <w:r>
              <w:rPr>
                <w:rtl/>
              </w:rPr>
            </w:r>
            <w:r>
              <w:rPr>
                <w:rFonts w:ascii="Times New Roman" w:hAnsi="Times New Roman" w:cs="Times New Roman"/>
                <w:b w:val="0"/>
                <w:sz w:val="20"/>
                <w:rtl/>
              </w:rPr>
            </w:r>
          </w:p>
        </w:tc>
        <w:tc>
          <w:tcPr>
            <w:tcW w:type="dxa" w:w="1584"/>
          </w:tcPr>
          <w:p>
            <w:pPr>
              <w:bidi/>
              <w:jc w:val="start"/>
            </w:pPr>
            <w:r>
              <w:rPr>
                <w:rtl/>
              </w:rPr>
            </w:r>
            <w:r>
              <w:rPr>
                <w:rFonts w:ascii="Times New Roman" w:hAnsi="Times New Roman" w:cs="Times New Roman"/>
                <w:b w:val="0"/>
                <w:sz w:val="20"/>
                <w:rtl/>
              </w:rPr>
              <w:t>‎Future Research overall‎</w:t>
            </w:r>
          </w:p>
        </w:tc>
        <w:tc>
          <w:tcPr>
            <w:tcW w:type="dxa" w:w="1728"/>
          </w:tcPr>
          <w:p>
            <w:pPr>
              <w:bidi/>
              <w:jc w:val="start"/>
            </w:pPr>
            <w:r>
              <w:rPr>
                <w:rtl/>
              </w:rPr>
            </w:r>
            <w:r>
              <w:rPr>
                <w:rFonts w:ascii="Times New Roman" w:hAnsi="Times New Roman" w:cs="Times New Roman"/>
                <w:b w:val="0"/>
                <w:sz w:val="20"/>
                <w:rtl/>
              </w:rPr>
              <w:t>שמירת היקף</w:t>
            </w:r>
          </w:p>
        </w:tc>
        <w:tc>
          <w:tcPr>
            <w:tcW w:type="dxa" w:w="3744"/>
          </w:tcPr>
          <w:p>
            <w:pPr>
              <w:bidi/>
              <w:jc w:val="start"/>
            </w:pPr>
            <w:r>
              <w:rPr>
                <w:rtl/>
              </w:rPr>
            </w:r>
            <w:r>
              <w:rPr>
                <w:rFonts w:ascii="Times New Roman" w:hAnsi="Times New Roman" w:cs="Times New Roman"/>
                <w:b w:val="0"/>
                <w:sz w:val="20"/>
                <w:rtl/>
              </w:rPr>
              <w:t>‎Keep the future-research agenda manageable for BA level by prioritising one or two concrete study designs rather than several broad programmes‎.</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t>‏summary‏</w:t>
            </w:r>
          </w:p>
        </w:tc>
        <w:tc>
          <w:tcPr>
            <w:tcW w:type="dxa" w:w="1008"/>
            <w:shd w:val="clear" w:color="auto" w:fill="FFF5EB"/>
          </w:tcPr>
          <w:p>
            <w:pPr>
              <w:bidi/>
              <w:jc w:val="start"/>
            </w:pPr>
            <w:r>
              <w:rPr>
                <w:rtl/>
              </w:rPr>
            </w:r>
            <w:r>
              <w:rPr>
                <w:rFonts w:ascii="Times New Roman" w:hAnsi="Times New Roman" w:cs="Times New Roman"/>
                <w:b w:val="0"/>
                <w:sz w:val="20"/>
                <w:rtl/>
              </w:rPr>
              <w:t>‏92‏/‏100‏</w:t>
            </w:r>
          </w:p>
        </w:tc>
        <w:tc>
          <w:tcPr>
            <w:tcW w:type="dxa" w:w="1584"/>
            <w:shd w:val="clear" w:color="auto" w:fill="FFF5EB"/>
          </w:tcPr>
          <w:p>
            <w:pPr>
              <w:bidi/>
              <w:jc w:val="start"/>
            </w:pPr>
            <w:r>
              <w:rPr>
                <w:rtl/>
              </w:rPr>
            </w:r>
            <w:r>
              <w:rPr>
                <w:rFonts w:ascii="Times New Roman" w:hAnsi="Times New Roman" w:cs="Times New Roman"/>
                <w:b w:val="0"/>
                <w:sz w:val="20"/>
                <w:rtl/>
              </w:rPr>
              <w:t>‎Recap of the Argument‎, ‏paragraph‏ ‏2‏</w:t>
            </w:r>
          </w:p>
        </w:tc>
        <w:tc>
          <w:tcPr>
            <w:tcW w:type="dxa" w:w="1728"/>
            <w:shd w:val="clear" w:color="auto" w:fill="FFF5EB"/>
          </w:tcPr>
          <w:p>
            <w:pPr>
              <w:bidi/>
              <w:jc w:val="start"/>
            </w:pPr>
            <w:r>
              <w:rPr>
                <w:rtl/>
              </w:rPr>
            </w:r>
            <w:r>
              <w:rPr>
                <w:rFonts w:ascii="Times New Roman" w:hAnsi="Times New Roman" w:cs="Times New Roman"/>
                <w:b w:val="0"/>
                <w:sz w:val="20"/>
                <w:rtl/>
              </w:rPr>
              <w:t>שלמות</w:t>
            </w:r>
          </w:p>
        </w:tc>
        <w:tc>
          <w:tcPr>
            <w:tcW w:type="dxa" w:w="3744"/>
            <w:shd w:val="clear" w:color="auto" w:fill="FFF5EB"/>
          </w:tcPr>
          <w:p>
            <w:pPr>
              <w:bidi/>
              <w:jc w:val="start"/>
            </w:pPr>
            <w:r>
              <w:rPr>
                <w:rtl/>
              </w:rPr>
            </w:r>
            <w:r>
              <w:rPr>
                <w:rFonts w:ascii="Times New Roman" w:hAnsi="Times New Roman" w:cs="Times New Roman"/>
                <w:b w:val="0"/>
                <w:sz w:val="20"/>
                <w:rtl/>
              </w:rPr>
              <w:t>‎Avoid introducing a new citation in the conclusion‎; ‏move‏ [‎the cited source‎] ‎and its supporting claim to the literature review or discussion‎.</w:t>
            </w:r>
          </w:p>
        </w:tc>
      </w:tr>
      <w:tr>
        <w:trPr>
          <w:cantSplit/>
        </w:trPr>
        <w:tc>
          <w:tcPr>
            <w:tcW w:type="dxa" w:w="1728"/>
          </w:tcPr>
          <w:p>
            <w:pPr>
              <w:bidi/>
              <w:jc w:val="start"/>
            </w:pPr>
            <w:r>
              <w:rPr>
                <w:rtl/>
              </w:rPr>
            </w:r>
            <w:r>
              <w:rPr>
                <w:rFonts w:ascii="Times New Roman" w:hAnsi="Times New Roman" w:cs="Times New Roman"/>
                <w:b w:val="0"/>
                <w:sz w:val="20"/>
                <w:rtl/>
              </w:rPr>
            </w:r>
          </w:p>
        </w:tc>
        <w:tc>
          <w:tcPr>
            <w:tcW w:type="dxa" w:w="1008"/>
          </w:tcPr>
          <w:p>
            <w:pPr>
              <w:bidi/>
              <w:jc w:val="start"/>
            </w:pPr>
            <w:r>
              <w:rPr>
                <w:rtl/>
              </w:rPr>
            </w:r>
            <w:r>
              <w:rPr>
                <w:rFonts w:ascii="Times New Roman" w:hAnsi="Times New Roman" w:cs="Times New Roman"/>
                <w:b w:val="0"/>
                <w:sz w:val="20"/>
                <w:rtl/>
              </w:rPr>
            </w:r>
          </w:p>
        </w:tc>
        <w:tc>
          <w:tcPr>
            <w:tcW w:type="dxa" w:w="1584"/>
          </w:tcPr>
          <w:p>
            <w:pPr>
              <w:bidi/>
              <w:jc w:val="start"/>
            </w:pPr>
            <w:r>
              <w:rPr>
                <w:rtl/>
              </w:rPr>
            </w:r>
            <w:r>
              <w:rPr>
                <w:rFonts w:ascii="Times New Roman" w:hAnsi="Times New Roman" w:cs="Times New Roman"/>
                <w:b w:val="0"/>
                <w:sz w:val="20"/>
                <w:rtl/>
              </w:rPr>
              <w:t>‎Recap of the Argument‎, ‏paragraph‏ ‏2‏</w:t>
            </w:r>
          </w:p>
        </w:tc>
        <w:tc>
          <w:tcPr>
            <w:tcW w:type="dxa" w:w="1728"/>
          </w:tcPr>
          <w:p>
            <w:pPr>
              <w:bidi/>
              <w:jc w:val="start"/>
            </w:pPr>
            <w:r>
              <w:rPr>
                <w:rtl/>
              </w:rPr>
            </w:r>
            <w:r>
              <w:rPr>
                <w:rFonts w:ascii="Times New Roman" w:hAnsi="Times New Roman" w:cs="Times New Roman"/>
                <w:b w:val="0"/>
                <w:sz w:val="20"/>
                <w:rtl/>
              </w:rPr>
              <w:t>ראיות</w:t>
            </w:r>
          </w:p>
        </w:tc>
        <w:tc>
          <w:tcPr>
            <w:tcW w:type="dxa" w:w="3744"/>
          </w:tcPr>
          <w:p>
            <w:pPr>
              <w:bidi/>
              <w:jc w:val="start"/>
            </w:pPr>
            <w:r>
              <w:rPr>
                <w:rtl/>
              </w:rPr>
            </w:r>
            <w:r>
              <w:rPr>
                <w:rFonts w:ascii="Times New Roman" w:hAnsi="Times New Roman" w:cs="Times New Roman"/>
                <w:b w:val="0"/>
                <w:sz w:val="20"/>
                <w:rtl/>
              </w:rPr>
              <w:t>‎If the spectrum-from-authorship-to-generatorship claim remains in the summary‎, ‎it should already be fully developed and cited earlier in the paper‎.</w:t>
            </w:r>
          </w:p>
        </w:tc>
      </w:tr>
      <w:tr>
        <w:trPr>
          <w:cantSplit/>
        </w:trPr>
        <w:tc>
          <w:tcPr>
            <w:tcW w:type="dxa" w:w="1728"/>
            <w:shd w:val="clear" w:color="auto" w:fill="FFF5EB"/>
          </w:tcPr>
          <w:p>
            <w:pPr>
              <w:bidi/>
              <w:jc w:val="start"/>
            </w:pPr>
            <w:r>
              <w:rPr>
                <w:rtl/>
              </w:rPr>
            </w:r>
            <w:r>
              <w:rPr>
                <w:rFonts w:ascii="Times New Roman" w:hAnsi="Times New Roman" w:cs="Times New Roman"/>
                <w:b w:val="0"/>
                <w:sz w:val="20"/>
                <w:rtl/>
              </w:rPr>
              <w:t>‏references‏</w:t>
            </w:r>
          </w:p>
        </w:tc>
        <w:tc>
          <w:tcPr>
            <w:tcW w:type="dxa" w:w="1008"/>
            <w:shd w:val="clear" w:color="auto" w:fill="FFF5EB"/>
          </w:tcPr>
          <w:p>
            <w:pPr>
              <w:bidi/>
              <w:jc w:val="start"/>
            </w:pPr>
            <w:r>
              <w:rPr>
                <w:rtl/>
              </w:rPr>
            </w:r>
            <w:r>
              <w:rPr>
                <w:rFonts w:ascii="Times New Roman" w:hAnsi="Times New Roman" w:cs="Times New Roman"/>
                <w:b w:val="0"/>
                <w:sz w:val="20"/>
                <w:rtl/>
              </w:rPr>
              <w:t>‏100‏/‏100‏</w:t>
            </w:r>
          </w:p>
        </w:tc>
        <w:tc>
          <w:tcPr>
            <w:tcW w:type="dxa" w:w="1584"/>
            <w:shd w:val="clear" w:color="auto" w:fill="FFF5EB"/>
          </w:tcPr>
          <w:p>
            <w:pPr>
              <w:bidi/>
              <w:jc w:val="start"/>
            </w:pPr>
            <w:r>
              <w:rPr>
                <w:rtl/>
              </w:rPr>
            </w:r>
            <w:r>
              <w:rPr>
                <w:rFonts w:ascii="Times New Roman" w:hAnsi="Times New Roman" w:cs="Times New Roman"/>
                <w:b w:val="0"/>
                <w:sz w:val="20"/>
                <w:rtl/>
              </w:rPr>
              <w:t>—</w:t>
            </w:r>
          </w:p>
        </w:tc>
        <w:tc>
          <w:tcPr>
            <w:tcW w:type="dxa" w:w="1728"/>
            <w:shd w:val="clear" w:color="auto" w:fill="FFF5EB"/>
          </w:tcPr>
          <w:p>
            <w:pPr>
              <w:bidi/>
              <w:jc w:val="start"/>
            </w:pPr>
            <w:r>
              <w:rPr>
                <w:rtl/>
              </w:rPr>
            </w:r>
            <w:r>
              <w:rPr>
                <w:rFonts w:ascii="Times New Roman" w:hAnsi="Times New Roman" w:cs="Times New Roman"/>
                <w:b w:val="0"/>
                <w:sz w:val="20"/>
                <w:rtl/>
              </w:rPr>
              <w:t>—</w:t>
            </w:r>
          </w:p>
        </w:tc>
        <w:tc>
          <w:tcPr>
            <w:tcW w:type="dxa" w:w="3744"/>
            <w:shd w:val="clear" w:color="auto" w:fill="FFF5EB"/>
          </w:tcPr>
          <w:p>
            <w:pPr>
              <w:bidi/>
              <w:jc w:val="start"/>
            </w:pPr>
            <w:r>
              <w:rPr>
                <w:rtl/>
              </w:rPr>
            </w:r>
            <w:r>
              <w:rPr>
                <w:rFonts w:ascii="Times New Roman" w:hAnsi="Times New Roman" w:cs="Times New Roman"/>
                <w:b w:val="0"/>
                <w:sz w:val="20"/>
                <w:rtl/>
              </w:rPr>
              <w:t>לא נמצאו ממצאים.</w:t>
            </w:r>
          </w:p>
        </w:tc>
      </w:tr>
      <w:tr>
        <w:trPr>
          <w:cantSplit/>
        </w:trPr>
        <w:tc>
          <w:tcPr>
            <w:tcW w:type="dxa" w:w="1728"/>
          </w:tcPr>
          <w:p>
            <w:pPr>
              <w:bidi/>
              <w:jc w:val="start"/>
            </w:pPr>
            <w:r>
              <w:rPr>
                <w:rtl/>
              </w:rPr>
            </w:r>
            <w:r>
              <w:rPr>
                <w:rFonts w:ascii="Times New Roman" w:hAnsi="Times New Roman" w:cs="Times New Roman"/>
                <w:b w:val="0"/>
                <w:sz w:val="20"/>
                <w:rtl/>
              </w:rPr>
              <w:t>‏appendices‏</w:t>
            </w:r>
          </w:p>
        </w:tc>
        <w:tc>
          <w:tcPr>
            <w:tcW w:type="dxa" w:w="1008"/>
          </w:tcPr>
          <w:p>
            <w:pPr>
              <w:bidi/>
              <w:jc w:val="start"/>
            </w:pPr>
            <w:r>
              <w:rPr>
                <w:rtl/>
              </w:rPr>
            </w:r>
            <w:r>
              <w:rPr>
                <w:rFonts w:ascii="Times New Roman" w:hAnsi="Times New Roman" w:cs="Times New Roman"/>
                <w:b w:val="0"/>
                <w:sz w:val="20"/>
                <w:rtl/>
              </w:rPr>
              <w:t>‏82‏/‏100‏</w:t>
            </w:r>
          </w:p>
        </w:tc>
        <w:tc>
          <w:tcPr>
            <w:tcW w:type="dxa" w:w="1584"/>
          </w:tcPr>
          <w:p>
            <w:pPr>
              <w:bidi/>
              <w:jc w:val="start"/>
            </w:pPr>
            <w:r>
              <w:rPr>
                <w:rtl/>
              </w:rPr>
            </w:r>
            <w:r>
              <w:rPr>
                <w:rFonts w:ascii="Times New Roman" w:hAnsi="Times New Roman" w:cs="Times New Roman"/>
                <w:b w:val="0"/>
                <w:sz w:val="20"/>
                <w:rtl/>
              </w:rPr>
              <w:t>‏Appendices‏</w:t>
            </w:r>
          </w:p>
        </w:tc>
        <w:tc>
          <w:tcPr>
            <w:tcW w:type="dxa" w:w="1728"/>
          </w:tcPr>
          <w:p>
            <w:pPr>
              <w:bidi/>
              <w:jc w:val="start"/>
            </w:pPr>
            <w:r>
              <w:rPr>
                <w:rtl/>
              </w:rPr>
            </w:r>
            <w:r>
              <w:rPr>
                <w:rFonts w:ascii="Times New Roman" w:hAnsi="Times New Roman" w:cs="Times New Roman"/>
                <w:b w:val="0"/>
                <w:sz w:val="20"/>
                <w:rtl/>
              </w:rPr>
              <w:t>שלמות</w:t>
            </w:r>
          </w:p>
        </w:tc>
        <w:tc>
          <w:tcPr>
            <w:tcW w:type="dxa" w:w="3744"/>
          </w:tcPr>
          <w:p>
            <w:pPr>
              <w:bidi/>
              <w:jc w:val="start"/>
            </w:pPr>
            <w:r>
              <w:rPr>
                <w:rtl/>
              </w:rPr>
            </w:r>
            <w:r>
              <w:rPr>
                <w:rFonts w:ascii="Times New Roman" w:hAnsi="Times New Roman" w:cs="Times New Roman"/>
                <w:b w:val="0"/>
                <w:sz w:val="20"/>
                <w:rtl/>
              </w:rPr>
              <w:t>‎If the institutional outline requires an appendix section‎, ‎add an‎ “‏Appendices‏” ‎heading with‎ “‎No appendices‎” ‎or include relevant supporting material‎.</w:t>
            </w:r>
          </w:p>
        </w:tc>
      </w:tr>
    </w:tbl>
    <w:p>
      <w:pPr>
        <w:bidi/>
        <w:jc w:val="start"/>
      </w:pPr>
    </w:p>
    <w:p>
      <w:pPr>
        <w:bidi/>
        <w:jc w:val="start"/>
      </w:pPr>
      <w:r>
        <w:rPr>
          <w:rFonts w:ascii="Times New Roman" w:hAnsi="Times New Roman" w:cs="Times New Roman"/>
          <w:b/>
          <w:sz w:val="28"/>
          <w:rtl/>
        </w:rPr>
        <w:t>סקירה רב-צירית</w:t>
      </w:r>
    </w:p>
    <w:p>
      <w:pPr>
        <w:bidi/>
        <w:jc w:val="start"/>
      </w:pPr>
      <w:r>
        <w:rPr>
          <w:rFonts w:ascii="Times New Roman" w:hAnsi="Times New Roman" w:cs="Times New Roman"/>
          <w:b w:val="0"/>
          <w:color w:val="6B7280"/>
          <w:sz w:val="20"/>
          <w:rtl/>
        </w:rPr>
        <w:t>ביקורת ברמה גבוהה על העבודה כשלם. כל ציר עונה על שאלה מובנית אחת.</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2880"/>
            <w:shd w:val="clear" w:color="auto" w:fill="FF7A00"/>
          </w:tcPr>
          <w:p>
            <w:pPr>
              <w:bidi/>
              <w:jc w:val="start"/>
            </w:pPr>
            <w:r>
              <w:rPr>
                <w:rtl/>
              </w:rPr>
            </w:r>
            <w:r>
              <w:rPr>
                <w:rFonts w:ascii="Times New Roman" w:hAnsi="Times New Roman" w:cs="Times New Roman"/>
                <w:b/>
                <w:color w:val="FFFFFF"/>
                <w:sz w:val="20"/>
                <w:rtl/>
              </w:rPr>
              <w:t>ציר</w:t>
            </w:r>
          </w:p>
        </w:tc>
        <w:tc>
          <w:tcPr>
            <w:tcW w:type="dxa" w:w="1440"/>
            <w:shd w:val="clear" w:color="auto" w:fill="FF7A00"/>
          </w:tcPr>
          <w:p>
            <w:pPr>
              <w:bidi/>
              <w:jc w:val="start"/>
            </w:pPr>
            <w:r>
              <w:rPr>
                <w:rtl/>
              </w:rPr>
            </w:r>
            <w:r>
              <w:rPr>
                <w:rFonts w:ascii="Times New Roman" w:hAnsi="Times New Roman" w:cs="Times New Roman"/>
                <w:b/>
                <w:color w:val="FFFFFF"/>
                <w:sz w:val="20"/>
                <w:rtl/>
              </w:rPr>
              <w:t>פסיקה</w:t>
            </w:r>
          </w:p>
        </w:tc>
        <w:tc>
          <w:tcPr>
            <w:tcW w:type="dxa" w:w="5040"/>
            <w:shd w:val="clear" w:color="auto" w:fill="FF7A00"/>
          </w:tcPr>
          <w:p>
            <w:pPr>
              <w:bidi/>
              <w:jc w:val="start"/>
            </w:pPr>
            <w:r>
              <w:rPr>
                <w:rtl/>
              </w:rPr>
            </w:r>
            <w:r>
              <w:rPr>
                <w:rFonts w:ascii="Times New Roman" w:hAnsi="Times New Roman" w:cs="Times New Roman"/>
                <w:b/>
                <w:color w:val="FFFFFF"/>
                <w:sz w:val="20"/>
                <w:rtl/>
              </w:rPr>
              <w:t>ממצא</w:t>
            </w:r>
          </w:p>
        </w:tc>
      </w:tr>
      <w:tr>
        <w:trPr>
          <w:cantSplit/>
        </w:trPr>
        <w:tc>
          <w:tcPr>
            <w:tcW w:type="dxa" w:w="2880"/>
          </w:tcPr>
          <w:p>
            <w:pPr>
              <w:bidi/>
              <w:jc w:val="start"/>
            </w:pPr>
            <w:r>
              <w:rPr>
                <w:rtl/>
              </w:rPr>
            </w:r>
            <w:r>
              <w:rPr>
                <w:rFonts w:ascii="Times New Roman" w:hAnsi="Times New Roman" w:cs="Times New Roman"/>
                <w:b/>
                <w:sz w:val="20"/>
                <w:rtl/>
              </w:rPr>
              <w:t>מתודולוגי</w:t>
            </w:r>
          </w:p>
          <w:p>
            <w:pPr>
              <w:bidi/>
              <w:jc w:val="start"/>
            </w:pPr>
            <w:r>
              <w:rPr>
                <w:rFonts w:ascii="Times New Roman" w:hAnsi="Times New Roman" w:cs="Times New Roman"/>
                <w:color w:val="6B7280"/>
                <w:sz w:val="18"/>
                <w:rtl/>
              </w:rPr>
              <w:t>האם המתודולוגיה אכן עונה על שאלת המחקר?</w:t>
            </w:r>
          </w:p>
        </w:tc>
        <w:tc>
          <w:tcPr>
            <w:tcW w:type="dxa" w:w="1440"/>
            <w:shd w:val="clear" w:color="auto" w:fill="FEF3C7"/>
          </w:tcPr>
          <w:p>
            <w:pPr>
              <w:bidi/>
              <w:jc w:val="start"/>
            </w:pPr>
            <w:r>
              <w:rPr>
                <w:rtl/>
              </w:rPr>
            </w:r>
            <w:r>
              <w:rPr>
                <w:rFonts w:ascii="Times New Roman" w:hAnsi="Times New Roman" w:cs="Times New Roman"/>
                <w:b/>
                <w:sz w:val="20"/>
                <w:rtl/>
              </w:rPr>
              <w:t>סביר</w:t>
            </w:r>
          </w:p>
        </w:tc>
        <w:tc>
          <w:tcPr>
            <w:tcW w:type="dxa" w:w="5040"/>
          </w:tcPr>
          <w:p>
            <w:pPr>
              <w:bidi/>
              <w:jc w:val="start"/>
            </w:pPr>
            <w:r>
              <w:rPr>
                <w:rtl/>
              </w:rPr>
            </w:r>
            <w:r>
              <w:rPr>
                <w:rFonts w:ascii="Times New Roman" w:hAnsi="Times New Roman" w:cs="Times New Roman"/>
                <w:b w:val="0"/>
                <w:sz w:val="20"/>
                <w:rtl/>
              </w:rPr>
              <w:t>‎The theoretical review method fits the question‎, ‎but source selection lacks explicit inclusion‎/‎exclusion criteria and a rationale beyond relevance‎.</w:t>
            </w:r>
          </w:p>
        </w:tc>
      </w:tr>
      <w:tr>
        <w:trPr>
          <w:cantSplit/>
        </w:trPr>
        <w:tc>
          <w:tcPr>
            <w:tcW w:type="dxa" w:w="2880"/>
          </w:tcPr>
          <w:p>
            <w:pPr>
              <w:bidi/>
              <w:jc w:val="start"/>
            </w:pPr>
            <w:r>
              <w:rPr>
                <w:rtl/>
              </w:rPr>
            </w:r>
            <w:r>
              <w:rPr>
                <w:rFonts w:ascii="Times New Roman" w:hAnsi="Times New Roman" w:cs="Times New Roman"/>
                <w:b/>
                <w:sz w:val="20"/>
                <w:rtl/>
              </w:rPr>
              <w:t>תיאורטי</w:t>
            </w:r>
          </w:p>
          <w:p>
            <w:pPr>
              <w:bidi/>
              <w:jc w:val="start"/>
            </w:pPr>
            <w:r>
              <w:rPr>
                <w:rFonts w:ascii="Times New Roman" w:hAnsi="Times New Roman" w:cs="Times New Roman"/>
                <w:color w:val="6B7280"/>
                <w:sz w:val="18"/>
                <w:rtl/>
              </w:rPr>
              <w:t>האם המסגרת התיאורטית קוהרנטית ומשמשת באופן עקבי?</w:t>
            </w:r>
          </w:p>
        </w:tc>
        <w:tc>
          <w:tcPr>
            <w:tcW w:type="dxa" w:w="1440"/>
            <w:shd w:val="clear" w:color="auto" w:fill="DCFCE7"/>
          </w:tcPr>
          <w:p>
            <w:pPr>
              <w:bidi/>
              <w:jc w:val="start"/>
            </w:pPr>
            <w:r>
              <w:rPr>
                <w:rtl/>
              </w:rPr>
            </w:r>
            <w:r>
              <w:rPr>
                <w:rFonts w:ascii="Times New Roman" w:hAnsi="Times New Roman" w:cs="Times New Roman"/>
                <w:b/>
                <w:sz w:val="20"/>
                <w:rtl/>
              </w:rPr>
              <w:t>חזק</w:t>
            </w:r>
          </w:p>
        </w:tc>
        <w:tc>
          <w:tcPr>
            <w:tcW w:type="dxa" w:w="5040"/>
          </w:tcPr>
          <w:p>
            <w:pPr>
              <w:bidi/>
              <w:jc w:val="start"/>
            </w:pPr>
            <w:r>
              <w:rPr>
                <w:rtl/>
              </w:rPr>
            </w:r>
            <w:r>
              <w:rPr>
                <w:rFonts w:ascii="Times New Roman" w:hAnsi="Times New Roman" w:cs="Times New Roman"/>
                <w:b w:val="0"/>
                <w:sz w:val="20"/>
                <w:rtl/>
              </w:rPr>
              <w:t>‎The legal‎, ‏intentionalist‏, ‎and posthumanist constructs are coherently defined and used as the paper’s organising frame‎.</w:t>
            </w:r>
          </w:p>
        </w:tc>
      </w:tr>
      <w:tr>
        <w:trPr>
          <w:cantSplit/>
        </w:trPr>
        <w:tc>
          <w:tcPr>
            <w:tcW w:type="dxa" w:w="2880"/>
          </w:tcPr>
          <w:p>
            <w:pPr>
              <w:bidi/>
              <w:jc w:val="start"/>
            </w:pPr>
            <w:r>
              <w:rPr>
                <w:rtl/>
              </w:rPr>
            </w:r>
            <w:r>
              <w:rPr>
                <w:rFonts w:ascii="Times New Roman" w:hAnsi="Times New Roman" w:cs="Times New Roman"/>
                <w:b/>
                <w:sz w:val="20"/>
                <w:rtl/>
              </w:rPr>
              <w:t>טיעוני</w:t>
            </w:r>
          </w:p>
          <w:p>
            <w:pPr>
              <w:bidi/>
              <w:jc w:val="start"/>
            </w:pPr>
            <w:r>
              <w:rPr>
                <w:rFonts w:ascii="Times New Roman" w:hAnsi="Times New Roman" w:cs="Times New Roman"/>
                <w:color w:val="6B7280"/>
                <w:sz w:val="18"/>
                <w:rtl/>
              </w:rPr>
              <w:t>האם שרשרת ההנמקה תקפה לעצמה?</w:t>
            </w:r>
          </w:p>
        </w:tc>
        <w:tc>
          <w:tcPr>
            <w:tcW w:type="dxa" w:w="1440"/>
            <w:shd w:val="clear" w:color="auto" w:fill="FEF3C7"/>
          </w:tcPr>
          <w:p>
            <w:pPr>
              <w:bidi/>
              <w:jc w:val="start"/>
            </w:pPr>
            <w:r>
              <w:rPr>
                <w:rtl/>
              </w:rPr>
            </w:r>
            <w:r>
              <w:rPr>
                <w:rFonts w:ascii="Times New Roman" w:hAnsi="Times New Roman" w:cs="Times New Roman"/>
                <w:b/>
                <w:sz w:val="20"/>
                <w:rtl/>
              </w:rPr>
              <w:t>סביר</w:t>
            </w:r>
          </w:p>
        </w:tc>
        <w:tc>
          <w:tcPr>
            <w:tcW w:type="dxa" w:w="5040"/>
          </w:tcPr>
          <w:p>
            <w:pPr>
              <w:bidi/>
              <w:jc w:val="start"/>
            </w:pPr>
            <w:r>
              <w:rPr>
                <w:rtl/>
              </w:rPr>
            </w:r>
            <w:r>
              <w:rPr>
                <w:rFonts w:ascii="Times New Roman" w:hAnsi="Times New Roman" w:cs="Times New Roman"/>
                <w:b w:val="0"/>
                <w:sz w:val="20"/>
                <w:rtl/>
              </w:rPr>
              <w:t>‎The central claim is coherent‎, ‎but the governance recommendation remains interpretive rather than demonstrated‎.</w:t>
            </w:r>
          </w:p>
        </w:tc>
      </w:tr>
      <w:tr>
        <w:trPr>
          <w:cantSplit/>
        </w:trPr>
        <w:tc>
          <w:tcPr>
            <w:tcW w:type="dxa" w:w="2880"/>
          </w:tcPr>
          <w:p>
            <w:pPr>
              <w:bidi/>
              <w:jc w:val="start"/>
            </w:pPr>
            <w:r>
              <w:rPr>
                <w:rtl/>
              </w:rPr>
            </w:r>
            <w:r>
              <w:rPr>
                <w:rFonts w:ascii="Times New Roman" w:hAnsi="Times New Roman" w:cs="Times New Roman"/>
                <w:b/>
                <w:sz w:val="20"/>
                <w:rtl/>
              </w:rPr>
              <w:t>בין-תחומי</w:t>
            </w:r>
          </w:p>
          <w:p>
            <w:pPr>
              <w:bidi/>
              <w:jc w:val="start"/>
            </w:pPr>
            <w:r>
              <w:rPr>
                <w:rFonts w:ascii="Times New Roman" w:hAnsi="Times New Roman" w:cs="Times New Roman"/>
                <w:color w:val="6B7280"/>
                <w:sz w:val="18"/>
                <w:rtl/>
              </w:rPr>
              <w:t>איך קורא ספקן מתחום סמוך היה קורא את העבודה?</w:t>
            </w:r>
          </w:p>
        </w:tc>
        <w:tc>
          <w:tcPr>
            <w:tcW w:type="dxa" w:w="1440"/>
            <w:shd w:val="clear" w:color="auto" w:fill="FEF3C7"/>
          </w:tcPr>
          <w:p>
            <w:pPr>
              <w:bidi/>
              <w:jc w:val="start"/>
            </w:pPr>
            <w:r>
              <w:rPr>
                <w:rtl/>
              </w:rPr>
            </w:r>
            <w:r>
              <w:rPr>
                <w:rFonts w:ascii="Times New Roman" w:hAnsi="Times New Roman" w:cs="Times New Roman"/>
                <w:b/>
                <w:sz w:val="20"/>
                <w:rtl/>
              </w:rPr>
              <w:t>סביר</w:t>
            </w:r>
          </w:p>
        </w:tc>
        <w:tc>
          <w:tcPr>
            <w:tcW w:type="dxa" w:w="5040"/>
          </w:tcPr>
          <w:p>
            <w:pPr>
              <w:bidi/>
              <w:jc w:val="start"/>
            </w:pPr>
            <w:r>
              <w:rPr>
                <w:rtl/>
              </w:rPr>
            </w:r>
            <w:r>
              <w:rPr>
                <w:rFonts w:ascii="Times New Roman" w:hAnsi="Times New Roman" w:cs="Times New Roman"/>
                <w:b w:val="0"/>
                <w:sz w:val="20"/>
                <w:rtl/>
              </w:rPr>
              <w:t>‎A higher-education or empirical methods reader would ask how student and staff practices affect the proposed continuum‎; ‎the paper notes this gap‎.</w:t>
            </w:r>
          </w:p>
        </w:tc>
      </w:tr>
      <w:tr>
        <w:trPr>
          <w:cantSplit/>
        </w:trPr>
        <w:tc>
          <w:tcPr>
            <w:tcW w:type="dxa" w:w="2880"/>
          </w:tcPr>
          <w:p>
            <w:pPr>
              <w:bidi/>
              <w:jc w:val="start"/>
            </w:pPr>
            <w:r>
              <w:rPr>
                <w:rtl/>
              </w:rPr>
            </w:r>
            <w:r>
              <w:rPr>
                <w:rFonts w:ascii="Times New Roman" w:hAnsi="Times New Roman" w:cs="Times New Roman"/>
                <w:b/>
                <w:sz w:val="20"/>
                <w:rtl/>
              </w:rPr>
              <w:t>אדברסרי (פרקליט השטן)</w:t>
            </w:r>
          </w:p>
          <w:p>
            <w:pPr>
              <w:bidi/>
              <w:jc w:val="start"/>
            </w:pPr>
            <w:r>
              <w:rPr>
                <w:rFonts w:ascii="Times New Roman" w:hAnsi="Times New Roman" w:cs="Times New Roman"/>
                <w:color w:val="6B7280"/>
                <w:sz w:val="18"/>
                <w:rtl/>
              </w:rPr>
              <w:t>ההתנגדות החזקה ביותר שספקן יכול להעלות נגד התזה המרכזית — והאם העבודה נותנת לה מענה.</w:t>
            </w:r>
          </w:p>
        </w:tc>
        <w:tc>
          <w:tcPr>
            <w:tcW w:type="dxa" w:w="1440"/>
            <w:shd w:val="clear" w:color="auto" w:fill="FEF3C7"/>
          </w:tcPr>
          <w:p>
            <w:pPr>
              <w:bidi/>
              <w:jc w:val="start"/>
            </w:pPr>
            <w:r>
              <w:rPr>
                <w:rtl/>
              </w:rPr>
            </w:r>
            <w:r>
              <w:rPr>
                <w:rFonts w:ascii="Times New Roman" w:hAnsi="Times New Roman" w:cs="Times New Roman"/>
                <w:b/>
                <w:sz w:val="20"/>
                <w:rtl/>
              </w:rPr>
              <w:t>סביר</w:t>
            </w:r>
          </w:p>
        </w:tc>
        <w:tc>
          <w:tcPr>
            <w:tcW w:type="dxa" w:w="5040"/>
          </w:tcPr>
          <w:p>
            <w:pPr>
              <w:bidi/>
              <w:jc w:val="start"/>
            </w:pPr>
            <w:r>
              <w:rPr>
                <w:rtl/>
              </w:rPr>
            </w:r>
            <w:r>
              <w:rPr>
                <w:rFonts w:ascii="Times New Roman" w:hAnsi="Times New Roman" w:cs="Times New Roman"/>
                <w:b w:val="0"/>
                <w:sz w:val="20"/>
                <w:rtl/>
              </w:rPr>
              <w:t>‏Objection‏: ‏Western‏, ‎English-language theory may not generalise to non-Western authorship norms‎. | ‏Addressed‏: ‏yes‏</w:t>
            </w:r>
          </w:p>
        </w:tc>
      </w:tr>
      <w:tr>
        <w:trPr>
          <w:cantSplit/>
        </w:trPr>
        <w:tc>
          <w:tcPr>
            <w:tcW w:type="dxa" w:w="2880"/>
          </w:tcPr>
          <w:p>
            <w:pPr>
              <w:bidi/>
              <w:jc w:val="start"/>
            </w:pPr>
            <w:r>
              <w:rPr>
                <w:rtl/>
              </w:rPr>
            </w:r>
            <w:r>
              <w:rPr>
                <w:rFonts w:ascii="Times New Roman" w:hAnsi="Times New Roman" w:cs="Times New Roman"/>
                <w:b/>
                <w:sz w:val="20"/>
                <w:rtl/>
              </w:rPr>
              <w:t>הבטחת הכותרת</w:t>
            </w:r>
          </w:p>
          <w:p>
            <w:pPr>
              <w:bidi/>
              <w:jc w:val="start"/>
            </w:pPr>
            <w:r>
              <w:rPr>
                <w:rFonts w:ascii="Times New Roman" w:hAnsi="Times New Roman" w:cs="Times New Roman"/>
                <w:color w:val="6B7280"/>
                <w:sz w:val="18"/>
                <w:rtl/>
              </w:rPr>
              <w:t>האם העבודה מקיימת את מה שהכותרת מבטיחה?</w:t>
            </w:r>
          </w:p>
        </w:tc>
        <w:tc>
          <w:tcPr>
            <w:tcW w:type="dxa" w:w="1440"/>
            <w:shd w:val="clear" w:color="auto" w:fill="DCFCE7"/>
          </w:tcPr>
          <w:p>
            <w:pPr>
              <w:bidi/>
              <w:jc w:val="start"/>
            </w:pPr>
            <w:r>
              <w:rPr>
                <w:rtl/>
              </w:rPr>
            </w:r>
            <w:r>
              <w:rPr>
                <w:rFonts w:ascii="Times New Roman" w:hAnsi="Times New Roman" w:cs="Times New Roman"/>
                <w:b/>
                <w:sz w:val="20"/>
                <w:rtl/>
              </w:rPr>
              <w:t>חזק</w:t>
            </w:r>
          </w:p>
        </w:tc>
        <w:tc>
          <w:tcPr>
            <w:tcW w:type="dxa" w:w="5040"/>
          </w:tcPr>
          <w:p>
            <w:pPr>
              <w:bidi/>
              <w:jc w:val="start"/>
            </w:pPr>
            <w:r>
              <w:rPr>
                <w:rtl/>
              </w:rPr>
            </w:r>
            <w:r>
              <w:rPr>
                <w:rFonts w:ascii="Times New Roman" w:hAnsi="Times New Roman" w:cs="Times New Roman"/>
                <w:b w:val="0"/>
                <w:sz w:val="20"/>
                <w:rtl/>
              </w:rPr>
              <w:t>‎Title commits to‎: ‎reconceptualisation and theoretical review‎ | ‏Delivered‏: ‏yes‏ | ‏Most-broken‏: ‏none‏</w:t>
            </w:r>
          </w:p>
        </w:tc>
      </w:tr>
      <w:tr>
        <w:trPr>
          <w:cantSplit/>
        </w:trPr>
        <w:tc>
          <w:tcPr>
            <w:tcW w:type="dxa" w:w="2880"/>
          </w:tcPr>
          <w:p>
            <w:pPr>
              <w:bidi/>
              <w:jc w:val="start"/>
            </w:pPr>
            <w:r>
              <w:rPr>
                <w:rtl/>
              </w:rPr>
            </w:r>
            <w:r>
              <w:rPr>
                <w:rFonts w:ascii="Times New Roman" w:hAnsi="Times New Roman" w:cs="Times New Roman"/>
                <w:b/>
                <w:sz w:val="20"/>
                <w:rtl/>
              </w:rPr>
              <w:t>קוהרנטיות נרטיבית</w:t>
            </w:r>
          </w:p>
          <w:p>
            <w:pPr>
              <w:bidi/>
              <w:jc w:val="start"/>
            </w:pPr>
            <w:r>
              <w:rPr>
                <w:rFonts w:ascii="Times New Roman" w:hAnsi="Times New Roman" w:cs="Times New Roman"/>
                <w:color w:val="6B7280"/>
                <w:sz w:val="18"/>
                <w:rtl/>
              </w:rPr>
              <w:t>האם הבטחות ההקדמה מתממשות בדיון ובסיכום?</w:t>
            </w:r>
          </w:p>
        </w:tc>
        <w:tc>
          <w:tcPr>
            <w:tcW w:type="dxa" w:w="1440"/>
            <w:shd w:val="clear" w:color="auto" w:fill="FEF3C7"/>
          </w:tcPr>
          <w:p>
            <w:pPr>
              <w:bidi/>
              <w:jc w:val="start"/>
            </w:pPr>
            <w:r>
              <w:rPr>
                <w:rtl/>
              </w:rPr>
            </w:r>
            <w:r>
              <w:rPr>
                <w:rFonts w:ascii="Times New Roman" w:hAnsi="Times New Roman" w:cs="Times New Roman"/>
                <w:b/>
                <w:sz w:val="20"/>
                <w:rtl/>
              </w:rPr>
              <w:t>סביר</w:t>
            </w:r>
          </w:p>
        </w:tc>
        <w:tc>
          <w:tcPr>
            <w:tcW w:type="dxa" w:w="5040"/>
          </w:tcPr>
          <w:p>
            <w:pPr>
              <w:bidi/>
              <w:jc w:val="start"/>
            </w:pPr>
            <w:r>
              <w:rPr>
                <w:rtl/>
              </w:rPr>
            </w:r>
            <w:r>
              <w:rPr>
                <w:rFonts w:ascii="Times New Roman" w:hAnsi="Times New Roman" w:cs="Times New Roman"/>
                <w:b w:val="0"/>
                <w:sz w:val="20"/>
                <w:rtl/>
              </w:rPr>
              <w:t>‎Promise gap‎: ‎The introduction promises relational originality‎, ‎but the body treats it mainly inside the delegation‎/‎disclosure synthesis‎.</w:t>
            </w:r>
          </w:p>
        </w:tc>
      </w:tr>
      <w:tr>
        <w:trPr>
          <w:cantSplit/>
        </w:trPr>
        <w:tc>
          <w:tcPr>
            <w:tcW w:type="dxa" w:w="2880"/>
          </w:tcPr>
          <w:p>
            <w:pPr>
              <w:bidi/>
              <w:jc w:val="start"/>
            </w:pPr>
            <w:r>
              <w:rPr>
                <w:rtl/>
              </w:rPr>
            </w:r>
            <w:r>
              <w:rPr>
                <w:rFonts w:ascii="Times New Roman" w:hAnsi="Times New Roman" w:cs="Times New Roman"/>
                <w:b/>
                <w:sz w:val="20"/>
                <w:rtl/>
              </w:rPr>
              <w:t>הסתמכות על קיצורי דרך</w:t>
            </w:r>
          </w:p>
          <w:p>
            <w:pPr>
              <w:bidi/>
              <w:jc w:val="start"/>
            </w:pPr>
            <w:r>
              <w:rPr>
                <w:rFonts w:ascii="Times New Roman" w:hAnsi="Times New Roman" w:cs="Times New Roman"/>
                <w:color w:val="6B7280"/>
                <w:sz w:val="18"/>
                <w:rtl/>
              </w:rPr>
              <w:t>האם הכתיבה מתחמקת מהעבודה שהטיעון דורש — סיומות פורמולאיות, ערימות הסתייגויות, פסקאות מילוי שחוזרות במקום להתקדם?</w:t>
            </w:r>
          </w:p>
        </w:tc>
        <w:tc>
          <w:tcPr>
            <w:tcW w:type="dxa" w:w="1440"/>
            <w:shd w:val="clear" w:color="auto" w:fill="DCFCE7"/>
          </w:tcPr>
          <w:p>
            <w:pPr>
              <w:bidi/>
              <w:jc w:val="start"/>
            </w:pPr>
            <w:r>
              <w:rPr>
                <w:rtl/>
              </w:rPr>
            </w:r>
            <w:r>
              <w:rPr>
                <w:rFonts w:ascii="Times New Roman" w:hAnsi="Times New Roman" w:cs="Times New Roman"/>
                <w:b/>
                <w:sz w:val="20"/>
                <w:rtl/>
              </w:rPr>
              <w:t>חזק</w:t>
            </w:r>
          </w:p>
        </w:tc>
        <w:tc>
          <w:tcPr>
            <w:tcW w:type="dxa" w:w="5040"/>
          </w:tcPr>
          <w:p>
            <w:pPr>
              <w:bidi/>
              <w:jc w:val="start"/>
            </w:pPr>
            <w:r>
              <w:rPr>
                <w:rtl/>
              </w:rPr>
            </w:r>
            <w:r>
              <w:rPr>
                <w:rFonts w:ascii="Times New Roman" w:hAnsi="Times New Roman" w:cs="Times New Roman"/>
                <w:b w:val="0"/>
                <w:sz w:val="20"/>
                <w:rtl/>
              </w:rPr>
              <w:t>‎No major shortcut‎: ‎the paper takes a defensible position while acknowledging the limits of a theoretical review‎.</w:t>
            </w:r>
          </w:p>
        </w:tc>
      </w:tr>
      <w:tr>
        <w:trPr>
          <w:cantSplit/>
        </w:trPr>
        <w:tc>
          <w:tcPr>
            <w:tcW w:type="dxa" w:w="2880"/>
          </w:tcPr>
          <w:p>
            <w:pPr>
              <w:bidi/>
              <w:jc w:val="start"/>
            </w:pPr>
            <w:r>
              <w:rPr>
                <w:rtl/>
              </w:rPr>
            </w:r>
            <w:r>
              <w:rPr>
                <w:rFonts w:ascii="Times New Roman" w:hAnsi="Times New Roman" w:cs="Times New Roman"/>
                <w:b/>
                <w:sz w:val="20"/>
                <w:rtl/>
              </w:rPr>
              <w:t>נעילה על מסגור יחיד</w:t>
            </w:r>
          </w:p>
          <w:p>
            <w:pPr>
              <w:bidi/>
              <w:jc w:val="start"/>
            </w:pPr>
            <w:r>
              <w:rPr>
                <w:rFonts w:ascii="Times New Roman" w:hAnsi="Times New Roman" w:cs="Times New Roman"/>
                <w:color w:val="6B7280"/>
                <w:sz w:val="18"/>
                <w:rtl/>
              </w:rPr>
              <w:t>האם העבודה מכירה במסגורים תיאורטיים חלופיים, או נעולה על מסגור יחיד מבלי לבחון אותו מחדש?</w:t>
            </w:r>
          </w:p>
        </w:tc>
        <w:tc>
          <w:tcPr>
            <w:tcW w:type="dxa" w:w="1440"/>
            <w:shd w:val="clear" w:color="auto" w:fill="DCFCE7"/>
          </w:tcPr>
          <w:p>
            <w:pPr>
              <w:bidi/>
              <w:jc w:val="start"/>
            </w:pPr>
            <w:r>
              <w:rPr>
                <w:rtl/>
              </w:rPr>
            </w:r>
            <w:r>
              <w:rPr>
                <w:rFonts w:ascii="Times New Roman" w:hAnsi="Times New Roman" w:cs="Times New Roman"/>
                <w:b/>
                <w:sz w:val="20"/>
                <w:rtl/>
              </w:rPr>
              <w:t>חזק</w:t>
            </w:r>
          </w:p>
        </w:tc>
        <w:tc>
          <w:tcPr>
            <w:tcW w:type="dxa" w:w="5040"/>
          </w:tcPr>
          <w:p>
            <w:pPr>
              <w:bidi/>
              <w:jc w:val="start"/>
            </w:pPr>
            <w:r>
              <w:rPr>
                <w:rtl/>
              </w:rPr>
            </w:r>
            <w:r>
              <w:rPr>
                <w:rFonts w:ascii="Times New Roman" w:hAnsi="Times New Roman" w:cs="Times New Roman"/>
                <w:b w:val="0"/>
                <w:sz w:val="20"/>
                <w:rtl/>
              </w:rPr>
              <w:t>‎Single frame‎: ‏none‏; ‏legal‏, ‏intentionalist‏, ‎and posthumanist alternatives are compared‎ | ‎Alternatives considered‎: ‏yes‏</w:t>
            </w:r>
          </w:p>
        </w:tc>
      </w:tr>
    </w:tbl>
    <w:p>
      <w:pPr>
        <w:bidi/>
        <w:jc w:val="start"/>
      </w:pPr>
    </w:p>
    <w:p>
      <w:pPr>
        <w:bidi/>
        <w:jc w:val="start"/>
      </w:pPr>
      <w:r>
        <w:rPr>
          <w:rFonts w:ascii="Times New Roman" w:hAnsi="Times New Roman" w:cs="Times New Roman"/>
          <w:b/>
          <w:sz w:val="28"/>
          <w:rtl/>
        </w:rPr>
        <w:t>צ'קליסט סעיפים</w:t>
      </w:r>
    </w:p>
    <w:p>
      <w:pPr>
        <w:bidi/>
        <w:jc w:val="start"/>
      </w:pPr>
      <w:r>
        <w:rPr>
          <w:rFonts w:ascii="Times New Roman" w:hAnsi="Times New Roman" w:cs="Times New Roman"/>
          <w:b w:val="0"/>
          <w:color w:val="6B7280"/>
          <w:sz w:val="20"/>
          <w:rtl/>
        </w:rPr>
        <w:t>פריטים מבניים שמצופים בכל סעיף. דיאגנוסטי בלבד — בדיקות אלו לא משנות את ציון הסעיף; הן מציגות פערים בינאריים נוכח/חסר שהציון הרציף עלול לפספס.</w:t>
      </w:r>
    </w:p>
    <w:p>
      <w:pPr>
        <w:bidi/>
        <w:jc w:val="start"/>
      </w:pPr>
      <w:r>
        <w:rPr>
          <w:rFonts w:ascii="Times New Roman" w:hAnsi="Times New Roman" w:cs="Times New Roman"/>
          <w:b/>
          <w:sz w:val="24"/>
          <w:rtl/>
        </w:rPr>
        <w:t>תקציר</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‏Self-contained‏ — ‎no undefined acronyms‎, ‎no in-text citations‎</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‎AI and LLMs are defined‎; ‎no citation markers appear‎.</w:t>
            </w:r>
          </w:p>
        </w:tc>
      </w:tr>
      <w:tr>
        <w:trPr>
          <w:cantSplit/>
        </w:trPr>
        <w:tc>
          <w:tcPr>
            <w:tcW w:type="dxa" w:w="4896"/>
          </w:tcPr>
          <w:p>
            <w:pPr>
              <w:bidi/>
              <w:jc w:val="start"/>
            </w:pPr>
            <w:r>
              <w:rPr>
                <w:rtl/>
              </w:rPr>
            </w:r>
            <w:r>
              <w:rPr>
                <w:rFonts w:ascii="Times New Roman" w:hAnsi="Times New Roman" w:cs="Times New Roman"/>
                <w:b w:val="0"/>
                <w:sz w:val="20"/>
                <w:rtl/>
              </w:rPr>
              <w:t>‎Reflects the paper's actual conclusion‎ (‎matches the conclusion section‎)</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abstract’s continuum‎/‎disclosure claim matches the summary‎.</w:t>
            </w:r>
          </w:p>
        </w:tc>
      </w:tr>
      <w:tr>
        <w:trPr>
          <w:cantSplit/>
        </w:trPr>
        <w:tc>
          <w:tcPr>
            <w:tcW w:type="dxa" w:w="4896"/>
          </w:tcPr>
          <w:p>
            <w:pPr>
              <w:bidi/>
              <w:jc w:val="start"/>
            </w:pPr>
            <w:r>
              <w:rPr>
                <w:rtl/>
              </w:rPr>
            </w:r>
            <w:r>
              <w:rPr>
                <w:rFonts w:ascii="Times New Roman" w:hAnsi="Times New Roman" w:cs="Times New Roman"/>
                <w:b w:val="0"/>
                <w:sz w:val="20"/>
                <w:rtl/>
              </w:rPr>
              <w:t>‎Includes context‎, ‏method‏ (‎if applicable‎), ‎and main result‎</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‏Context‏, ‎theoretical framework‎, ‎and core contribution are stated‎.</w:t>
            </w:r>
          </w:p>
        </w:tc>
      </w:tr>
    </w:tbl>
    <w:p>
      <w:pPr>
        <w:bidi/>
        <w:jc w:val="start"/>
      </w:pPr>
    </w:p>
    <w:p>
      <w:pPr>
        <w:bidi/>
        <w:jc w:val="start"/>
      </w:pPr>
      <w:r>
        <w:rPr>
          <w:rFonts w:ascii="Times New Roman" w:hAnsi="Times New Roman" w:cs="Times New Roman"/>
          <w:b/>
          <w:sz w:val="24"/>
          <w:rtl/>
        </w:rPr>
        <w:t>מבוא</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‎Topic background established‎ (‎why this matters‎)</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opening connects authorship debates to generative AI‎.</w:t>
            </w:r>
          </w:p>
        </w:tc>
      </w:tr>
      <w:tr>
        <w:trPr>
          <w:cantSplit/>
        </w:trPr>
        <w:tc>
          <w:tcPr>
            <w:tcW w:type="dxa" w:w="4896"/>
          </w:tcPr>
          <w:p>
            <w:pPr>
              <w:bidi/>
              <w:jc w:val="start"/>
            </w:pPr>
            <w:r>
              <w:rPr>
                <w:rtl/>
              </w:rPr>
            </w:r>
            <w:r>
              <w:rPr>
                <w:rFonts w:ascii="Times New Roman" w:hAnsi="Times New Roman" w:cs="Times New Roman"/>
                <w:b w:val="0"/>
                <w:sz w:val="20"/>
                <w:rtl/>
              </w:rPr>
              <w:t>‎Knowledge gap explicitly named‎</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gap is framed as inadequacy of existing frameworks‎.</w:t>
            </w:r>
          </w:p>
        </w:tc>
      </w:tr>
      <w:tr>
        <w:trPr>
          <w:cantSplit/>
        </w:trPr>
        <w:tc>
          <w:tcPr>
            <w:tcW w:type="dxa" w:w="4896"/>
          </w:tcPr>
          <w:p>
            <w:pPr>
              <w:bidi/>
              <w:jc w:val="start"/>
            </w:pPr>
            <w:r>
              <w:rPr>
                <w:rtl/>
              </w:rPr>
            </w:r>
            <w:r>
              <w:rPr>
                <w:rFonts w:ascii="Times New Roman" w:hAnsi="Times New Roman" w:cs="Times New Roman"/>
                <w:b w:val="0"/>
                <w:sz w:val="20"/>
                <w:rtl/>
              </w:rPr>
              <w:t>‎Research aim or central question stated‎</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research question is stated directly‎.</w:t>
            </w:r>
          </w:p>
        </w:tc>
      </w:tr>
      <w:tr>
        <w:trPr>
          <w:cantSplit/>
        </w:trPr>
        <w:tc>
          <w:tcPr>
            <w:tcW w:type="dxa" w:w="4896"/>
          </w:tcPr>
          <w:p>
            <w:pPr>
              <w:bidi/>
              <w:jc w:val="start"/>
            </w:pPr>
            <w:r>
              <w:rPr>
                <w:rtl/>
              </w:rPr>
            </w:r>
            <w:r>
              <w:rPr>
                <w:rFonts w:ascii="Times New Roman" w:hAnsi="Times New Roman" w:cs="Times New Roman"/>
                <w:b w:val="0"/>
                <w:sz w:val="20"/>
                <w:rtl/>
              </w:rPr>
              <w:t>‎Scope outlined‎ — ‎what the paper will and will not cover‎</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final paragraph outlines the paper’s sections and scope‎.</w:t>
            </w:r>
          </w:p>
        </w:tc>
      </w:tr>
    </w:tbl>
    <w:p>
      <w:pPr>
        <w:bidi/>
        <w:jc w:val="start"/>
      </w:pPr>
    </w:p>
    <w:p>
      <w:pPr>
        <w:bidi/>
        <w:jc w:val="start"/>
      </w:pPr>
      <w:r>
        <w:rPr>
          <w:rFonts w:ascii="Times New Roman" w:hAnsi="Times New Roman" w:cs="Times New Roman"/>
          <w:b/>
          <w:sz w:val="24"/>
          <w:rtl/>
        </w:rPr>
        <w:t>סקירת ספרות</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‎Organised around‎ ‏2‏–‎4 explicit thematic topics (not chronological / alphabetical / one-paper-per-paragraph citation list)‎; ‎each topic opens with a topic sentence that defines its scope‎</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review uses spectrum‎, ‏legal‏/‎institutional pressure‎, ‎and tensions‎.</w:t>
            </w:r>
          </w:p>
        </w:tc>
      </w:tr>
      <w:tr>
        <w:trPr>
          <w:cantSplit/>
        </w:trPr>
        <w:tc>
          <w:tcPr>
            <w:tcW w:type="dxa" w:w="4896"/>
          </w:tcPr>
          <w:p>
            <w:pPr>
              <w:bidi/>
              <w:jc w:val="start"/>
            </w:pPr>
            <w:r>
              <w:rPr>
                <w:rtl/>
              </w:rPr>
            </w:r>
            <w:r>
              <w:rPr>
                <w:rFonts w:ascii="Times New Roman" w:hAnsi="Times New Roman" w:cs="Times New Roman"/>
                <w:b w:val="0"/>
                <w:sz w:val="20"/>
                <w:rtl/>
              </w:rPr>
              <w:t>‎Multiple competing perspectives presented within or across topics‎, ‎not a single dominant narrative‎</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‏Tool‏/‏agent‏, ‏transparency‏, ‎and deconstruction positions are contrasted‎.</w:t>
            </w:r>
          </w:p>
        </w:tc>
      </w:tr>
      <w:tr>
        <w:trPr>
          <w:cantSplit/>
        </w:trPr>
        <w:tc>
          <w:tcPr>
            <w:tcW w:type="dxa" w:w="4896"/>
          </w:tcPr>
          <w:p>
            <w:pPr>
              <w:bidi/>
              <w:jc w:val="start"/>
            </w:pPr>
            <w:r>
              <w:rPr>
                <w:rtl/>
              </w:rPr>
            </w:r>
            <w:r>
              <w:rPr>
                <w:rFonts w:ascii="Times New Roman" w:hAnsi="Times New Roman" w:cs="Times New Roman"/>
                <w:b w:val="0"/>
                <w:sz w:val="20"/>
                <w:rtl/>
              </w:rPr>
              <w:t>‎Each topic block closes with a gap or unresolved question‎, ‎and those gaps connect forward to the paper's research aim or contribution‎</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‎Most topic blocks end by identifying governance or accountability gaps‎.</w:t>
            </w:r>
          </w:p>
        </w:tc>
      </w:tr>
      <w:tr>
        <w:trPr>
          <w:cantSplit/>
        </w:trPr>
        <w:tc>
          <w:tcPr>
            <w:tcW w:type="dxa" w:w="4896"/>
          </w:tcPr>
          <w:p>
            <w:pPr>
              <w:bidi/>
              <w:jc w:val="start"/>
            </w:pPr>
            <w:r>
              <w:rPr>
                <w:rtl/>
              </w:rPr>
            </w:r>
            <w:r>
              <w:rPr>
                <w:rFonts w:ascii="Times New Roman" w:hAnsi="Times New Roman" w:cs="Times New Roman"/>
                <w:b w:val="0"/>
                <w:sz w:val="20"/>
                <w:rtl/>
              </w:rPr>
              <w:t>‎Recent literature included (last 5‎–‎10 years where the field allows)‎</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stated corpus spans‎ ‏2015‏–‏2025.‏</w:t>
            </w:r>
          </w:p>
        </w:tc>
      </w:tr>
    </w:tbl>
    <w:p>
      <w:pPr>
        <w:bidi/>
        <w:jc w:val="start"/>
      </w:pPr>
    </w:p>
    <w:p>
      <w:pPr>
        <w:bidi/>
        <w:jc w:val="start"/>
      </w:pPr>
      <w:r>
        <w:rPr>
          <w:rFonts w:ascii="Times New Roman" w:hAnsi="Times New Roman" w:cs="Times New Roman"/>
          <w:b/>
          <w:sz w:val="24"/>
          <w:rtl/>
        </w:rPr>
        <w:t>דיון</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‎Opens with a summary of the main findings‎</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first paragraph summarises the three trajectories and central finding‎.</w:t>
            </w:r>
          </w:p>
        </w:tc>
      </w:tr>
      <w:tr>
        <w:trPr>
          <w:cantSplit/>
        </w:trPr>
        <w:tc>
          <w:tcPr>
            <w:tcW w:type="dxa" w:w="4896"/>
          </w:tcPr>
          <w:p>
            <w:pPr>
              <w:bidi/>
              <w:jc w:val="start"/>
            </w:pPr>
            <w:r>
              <w:rPr>
                <w:rtl/>
              </w:rPr>
            </w:r>
            <w:r>
              <w:rPr>
                <w:rFonts w:ascii="Times New Roman" w:hAnsi="Times New Roman" w:cs="Times New Roman"/>
                <w:b w:val="0"/>
                <w:sz w:val="20"/>
                <w:rtl/>
              </w:rPr>
              <w:t>‎Findings compared explicitly to existing literature‎</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‏Bajohr‏, ‏Zeilinger‏, ‏Adema‏, ‎and Israel and Amer are compared‎.</w:t>
            </w:r>
          </w:p>
        </w:tc>
      </w:tr>
      <w:tr>
        <w:trPr>
          <w:cantSplit/>
        </w:trPr>
        <w:tc>
          <w:tcPr>
            <w:tcW w:type="dxa" w:w="4896"/>
          </w:tcPr>
          <w:p>
            <w:pPr>
              <w:bidi/>
              <w:jc w:val="start"/>
            </w:pPr>
            <w:r>
              <w:rPr>
                <w:rtl/>
              </w:rPr>
            </w:r>
            <w:r>
              <w:rPr>
                <w:rFonts w:ascii="Times New Roman" w:hAnsi="Times New Roman" w:cs="Times New Roman"/>
                <w:b w:val="0"/>
                <w:sz w:val="20"/>
                <w:rtl/>
              </w:rPr>
              <w:t>‎No new data or new analyses introduced‎</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section synthesises theory and does not introduce empirical data‎.</w:t>
            </w:r>
          </w:p>
        </w:tc>
      </w:tr>
      <w:tr>
        <w:trPr>
          <w:cantSplit/>
        </w:trPr>
        <w:tc>
          <w:tcPr>
            <w:tcW w:type="dxa" w:w="4896"/>
          </w:tcPr>
          <w:p>
            <w:pPr>
              <w:bidi/>
              <w:jc w:val="start"/>
            </w:pPr>
            <w:r>
              <w:rPr>
                <w:rtl/>
              </w:rPr>
            </w:r>
            <w:r>
              <w:rPr>
                <w:rFonts w:ascii="Times New Roman" w:hAnsi="Times New Roman" w:cs="Times New Roman"/>
                <w:b w:val="0"/>
                <w:sz w:val="20"/>
                <w:rtl/>
              </w:rPr>
              <w:t>‎Theoretical or practical implications stated‎</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‎Implications for academic integrity governance are stated‎.</w:t>
            </w:r>
          </w:p>
        </w:tc>
      </w:tr>
    </w:tbl>
    <w:p>
      <w:pPr>
        <w:bidi/>
        <w:jc w:val="start"/>
      </w:pPr>
    </w:p>
    <w:p>
      <w:pPr>
        <w:bidi/>
        <w:jc w:val="start"/>
      </w:pPr>
      <w:r>
        <w:rPr>
          <w:rFonts w:ascii="Times New Roman" w:hAnsi="Times New Roman" w:cs="Times New Roman"/>
          <w:b/>
          <w:sz w:val="24"/>
          <w:rtl/>
        </w:rPr>
        <w:t>מגבלות</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‎Specific weaknesses named‎ (‎not vague‎ '‎several limitations exist'‎)</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‎Theoretical design‎, ‎disciplinary skew‎, ‎and date range are named‎.</w:t>
            </w:r>
          </w:p>
        </w:tc>
      </w:tr>
      <w:tr>
        <w:trPr>
          <w:cantSplit/>
        </w:trPr>
        <w:tc>
          <w:tcPr>
            <w:tcW w:type="dxa" w:w="4896"/>
          </w:tcPr>
          <w:p>
            <w:pPr>
              <w:bidi/>
              <w:jc w:val="start"/>
            </w:pPr>
            <w:r>
              <w:rPr>
                <w:rtl/>
              </w:rPr>
            </w:r>
            <w:r>
              <w:rPr>
                <w:rFonts w:ascii="Times New Roman" w:hAnsi="Times New Roman" w:cs="Times New Roman"/>
                <w:b w:val="0"/>
                <w:sz w:val="20"/>
                <w:rtl/>
              </w:rPr>
              <w:t>‎Direction of bias indicated where it can be inferred‎ (‎over- vs under-estimate‎)</w:t>
            </w:r>
          </w:p>
        </w:tc>
        <w:tc>
          <w:tcPr>
            <w:tcW w:type="dxa" w:w="1152"/>
            <w:shd w:val="clear" w:color="auto" w:fill="FEE2E2"/>
          </w:tcPr>
          <w:p>
            <w:pPr>
              <w:bidi/>
              <w:jc w:val="start"/>
            </w:pPr>
            <w:r>
              <w:rPr>
                <w:rtl/>
              </w:rPr>
            </w:r>
            <w:r>
              <w:rPr>
                <w:rFonts w:ascii="Times New Roman" w:hAnsi="Times New Roman" w:cs="Times New Roman"/>
                <w:b/>
                <w:sz w:val="20"/>
                <w:rtl/>
              </w:rPr>
              <w:t>לא</w:t>
            </w:r>
          </w:p>
        </w:tc>
        <w:tc>
          <w:tcPr>
            <w:tcW w:type="dxa" w:w="3312"/>
          </w:tcPr>
          <w:p>
            <w:pPr>
              <w:bidi/>
              <w:jc w:val="start"/>
            </w:pPr>
            <w:r>
              <w:rPr>
                <w:rtl/>
              </w:rPr>
            </w:r>
            <w:r>
              <w:rPr>
                <w:rFonts w:ascii="Times New Roman" w:hAnsi="Times New Roman" w:cs="Times New Roman"/>
                <w:b w:val="0"/>
                <w:sz w:val="20"/>
                <w:rtl/>
              </w:rPr>
              <w:t>‎The section notes skew but does not state how it may bias conclusions‎.</w:t>
            </w:r>
          </w:p>
        </w:tc>
      </w:tr>
      <w:tr>
        <w:trPr>
          <w:cantSplit/>
        </w:trPr>
        <w:tc>
          <w:tcPr>
            <w:tcW w:type="dxa" w:w="4896"/>
          </w:tcPr>
          <w:p>
            <w:pPr>
              <w:bidi/>
              <w:jc w:val="start"/>
            </w:pPr>
            <w:r>
              <w:rPr>
                <w:rtl/>
              </w:rPr>
            </w:r>
            <w:r>
              <w:rPr>
                <w:rFonts w:ascii="Times New Roman" w:hAnsi="Times New Roman" w:cs="Times New Roman"/>
                <w:b w:val="0"/>
                <w:sz w:val="20"/>
                <w:rtl/>
              </w:rPr>
              <w:t>‎Mitigation steps stated where they were applied‎</w:t>
            </w:r>
          </w:p>
        </w:tc>
        <w:tc>
          <w:tcPr>
            <w:tcW w:type="dxa" w:w="1152"/>
            <w:shd w:val="clear" w:color="auto" w:fill="FEE2E2"/>
          </w:tcPr>
          <w:p>
            <w:pPr>
              <w:bidi/>
              <w:jc w:val="start"/>
            </w:pPr>
            <w:r>
              <w:rPr>
                <w:rtl/>
              </w:rPr>
            </w:r>
            <w:r>
              <w:rPr>
                <w:rFonts w:ascii="Times New Roman" w:hAnsi="Times New Roman" w:cs="Times New Roman"/>
                <w:b/>
                <w:sz w:val="20"/>
                <w:rtl/>
              </w:rPr>
              <w:t>לא</w:t>
            </w:r>
          </w:p>
        </w:tc>
        <w:tc>
          <w:tcPr>
            <w:tcW w:type="dxa" w:w="3312"/>
          </w:tcPr>
          <w:p>
            <w:pPr>
              <w:bidi/>
              <w:jc w:val="start"/>
            </w:pPr>
            <w:r>
              <w:rPr>
                <w:rtl/>
              </w:rPr>
            </w:r>
            <w:r>
              <w:rPr>
                <w:rFonts w:ascii="Times New Roman" w:hAnsi="Times New Roman" w:cs="Times New Roman"/>
                <w:b w:val="0"/>
                <w:sz w:val="20"/>
                <w:rtl/>
              </w:rPr>
              <w:t>‎No mitigation strategy for source selection or disciplinary skew is stated‎.</w:t>
            </w:r>
          </w:p>
        </w:tc>
      </w:tr>
      <w:tr>
        <w:trPr>
          <w:cantSplit/>
        </w:trPr>
        <w:tc>
          <w:tcPr>
            <w:tcW w:type="dxa" w:w="4896"/>
          </w:tcPr>
          <w:p>
            <w:pPr>
              <w:bidi/>
              <w:jc w:val="start"/>
            </w:pPr>
            <w:r>
              <w:rPr>
                <w:rtl/>
              </w:rPr>
            </w:r>
            <w:r>
              <w:rPr>
                <w:rFonts w:ascii="Times New Roman" w:hAnsi="Times New Roman" w:cs="Times New Roman"/>
                <w:b w:val="0"/>
                <w:sz w:val="20"/>
                <w:rtl/>
              </w:rPr>
              <w:t>‎Limitations cover at least three of‎: ‎study design‎, ‏sample‏/‏population‏, ‏measurement‏/‏data‏, ‏analysis‏ (‎or comparable categories for the work type‎)</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‎Comparable categories are covered‎: ‏design‏, ‎disciplinary range‎, ‎and time range‎.</w:t>
            </w:r>
          </w:p>
        </w:tc>
      </w:tr>
    </w:tbl>
    <w:p>
      <w:pPr>
        <w:bidi/>
        <w:jc w:val="start"/>
      </w:pPr>
    </w:p>
    <w:p>
      <w:pPr>
        <w:bidi/>
        <w:jc w:val="start"/>
      </w:pPr>
      <w:r>
        <w:rPr>
          <w:rFonts w:ascii="Times New Roman" w:hAnsi="Times New Roman" w:cs="Times New Roman"/>
          <w:b/>
          <w:sz w:val="24"/>
          <w:rtl/>
        </w:rPr>
        <w:t>סיכום ומסקנות</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pPr>
              <w:bidi/>
              <w:jc w:val="start"/>
            </w:pPr>
            <w:r>
              <w:rPr>
                <w:rtl/>
              </w:rPr>
            </w:r>
            <w:r>
              <w:rPr>
                <w:rFonts w:ascii="Times New Roman" w:hAnsi="Times New Roman" w:cs="Times New Roman"/>
                <w:b/>
                <w:color w:val="FFFFFF"/>
                <w:sz w:val="20"/>
                <w:rtl/>
              </w:rPr>
              <w:t>פריט</w:t>
            </w:r>
          </w:p>
        </w:tc>
        <w:tc>
          <w:tcPr>
            <w:tcW w:type="dxa" w:w="1152"/>
            <w:shd w:val="clear" w:color="auto" w:fill="FF7A00"/>
          </w:tcPr>
          <w:p>
            <w:pPr>
              <w:bidi/>
              <w:jc w:val="start"/>
            </w:pPr>
            <w:r>
              <w:rPr>
                <w:rtl/>
              </w:rPr>
            </w:r>
            <w:r>
              <w:rPr>
                <w:rFonts w:ascii="Times New Roman" w:hAnsi="Times New Roman" w:cs="Times New Roman"/>
                <w:b/>
                <w:color w:val="FFFFFF"/>
                <w:sz w:val="20"/>
                <w:rtl/>
              </w:rPr>
              <w:t>דווח</w:t>
            </w:r>
          </w:p>
        </w:tc>
        <w:tc>
          <w:tcPr>
            <w:tcW w:type="dxa" w:w="3312"/>
            <w:shd w:val="clear" w:color="auto" w:fill="FF7A00"/>
          </w:tcPr>
          <w:p>
            <w:pPr>
              <w:bidi/>
              <w:jc w:val="start"/>
            </w:pPr>
            <w:r>
              <w:rPr>
                <w:rtl/>
              </w:rPr>
            </w:r>
            <w:r>
              <w:rPr>
                <w:rFonts w:ascii="Times New Roman" w:hAnsi="Times New Roman" w:cs="Times New Roman"/>
                <w:b/>
                <w:color w:val="FFFFFF"/>
                <w:sz w:val="20"/>
                <w:rtl/>
              </w:rPr>
              <w:t>הערה</w:t>
            </w:r>
          </w:p>
        </w:tc>
      </w:tr>
      <w:tr>
        <w:trPr>
          <w:cantSplit/>
        </w:trPr>
        <w:tc>
          <w:tcPr>
            <w:tcW w:type="dxa" w:w="4896"/>
          </w:tcPr>
          <w:p>
            <w:pPr>
              <w:bidi/>
              <w:jc w:val="start"/>
            </w:pPr>
            <w:r>
              <w:rPr>
                <w:rtl/>
              </w:rPr>
            </w:r>
            <w:r>
              <w:rPr>
                <w:rFonts w:ascii="Times New Roman" w:hAnsi="Times New Roman" w:cs="Times New Roman"/>
                <w:b w:val="0"/>
                <w:sz w:val="20"/>
                <w:rtl/>
              </w:rPr>
              <w:t>‎Directly answers the introduction's research aim‎</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summary returns to competing frameworks and the continuum model‎.</w:t>
            </w:r>
          </w:p>
        </w:tc>
      </w:tr>
      <w:tr>
        <w:trPr>
          <w:cantSplit/>
        </w:trPr>
        <w:tc>
          <w:tcPr>
            <w:tcW w:type="dxa" w:w="4896"/>
          </w:tcPr>
          <w:p>
            <w:pPr>
              <w:bidi/>
              <w:jc w:val="start"/>
            </w:pPr>
            <w:r>
              <w:rPr>
                <w:rtl/>
              </w:rPr>
            </w:r>
            <w:r>
              <w:rPr>
                <w:rFonts w:ascii="Times New Roman" w:hAnsi="Times New Roman" w:cs="Times New Roman"/>
                <w:b w:val="0"/>
                <w:sz w:val="20"/>
                <w:rtl/>
              </w:rPr>
              <w:t>‎Single core message stated‎, ‎not a recap of the whole paper‎</w:t>
            </w:r>
          </w:p>
        </w:tc>
        <w:tc>
          <w:tcPr>
            <w:tcW w:type="dxa" w:w="1152"/>
            <w:shd w:val="clear" w:color="auto" w:fill="DCFCE7"/>
          </w:tcPr>
          <w:p>
            <w:pPr>
              <w:bidi/>
              <w:jc w:val="start"/>
            </w:pPr>
            <w:r>
              <w:rPr>
                <w:rtl/>
              </w:rPr>
            </w:r>
            <w:r>
              <w:rPr>
                <w:rFonts w:ascii="Times New Roman" w:hAnsi="Times New Roman" w:cs="Times New Roman"/>
                <w:b/>
                <w:sz w:val="20"/>
                <w:rtl/>
              </w:rPr>
              <w:t>כן</w:t>
            </w:r>
          </w:p>
        </w:tc>
        <w:tc>
          <w:tcPr>
            <w:tcW w:type="dxa" w:w="3312"/>
          </w:tcPr>
          <w:p>
            <w:pPr>
              <w:bidi/>
              <w:jc w:val="start"/>
            </w:pPr>
            <w:r>
              <w:rPr>
                <w:rtl/>
              </w:rPr>
            </w:r>
            <w:r>
              <w:rPr>
                <w:rFonts w:ascii="Times New Roman" w:hAnsi="Times New Roman" w:cs="Times New Roman"/>
                <w:b w:val="0"/>
                <w:sz w:val="20"/>
                <w:rtl/>
              </w:rPr>
              <w:t>‎The core message is clear‎, ‎though the recap subsection is relatively detailed‎.</w:t>
            </w:r>
          </w:p>
        </w:tc>
      </w:tr>
      <w:tr>
        <w:trPr>
          <w:cantSplit/>
        </w:trPr>
        <w:tc>
          <w:tcPr>
            <w:tcW w:type="dxa" w:w="4896"/>
          </w:tcPr>
          <w:p>
            <w:pPr>
              <w:bidi/>
              <w:jc w:val="start"/>
            </w:pPr>
            <w:r>
              <w:rPr>
                <w:rtl/>
              </w:rPr>
            </w:r>
            <w:r>
              <w:rPr>
                <w:rFonts w:ascii="Times New Roman" w:hAnsi="Times New Roman" w:cs="Times New Roman"/>
                <w:b w:val="0"/>
                <w:sz w:val="20"/>
                <w:rtl/>
              </w:rPr>
              <w:t>‎No new data or new citations introduced‎</w:t>
            </w:r>
          </w:p>
        </w:tc>
        <w:tc>
          <w:tcPr>
            <w:tcW w:type="dxa" w:w="1152"/>
            <w:shd w:val="clear" w:color="auto" w:fill="FEE2E2"/>
          </w:tcPr>
          <w:p>
            <w:pPr>
              <w:bidi/>
              <w:jc w:val="start"/>
            </w:pPr>
            <w:r>
              <w:rPr>
                <w:rtl/>
              </w:rPr>
            </w:r>
            <w:r>
              <w:rPr>
                <w:rFonts w:ascii="Times New Roman" w:hAnsi="Times New Roman" w:cs="Times New Roman"/>
                <w:b/>
                <w:sz w:val="20"/>
                <w:rtl/>
              </w:rPr>
              <w:t>לא</w:t>
            </w:r>
          </w:p>
        </w:tc>
        <w:tc>
          <w:tcPr>
            <w:tcW w:type="dxa" w:w="3312"/>
          </w:tcPr>
          <w:p>
            <w:pPr>
              <w:bidi/>
              <w:jc w:val="start"/>
            </w:pPr>
            <w:r>
              <w:rPr>
                <w:rtl/>
              </w:rPr>
            </w:r>
            <w:r>
              <w:rPr>
                <w:rFonts w:ascii="Times New Roman" w:hAnsi="Times New Roman" w:cs="Times New Roman"/>
                <w:b w:val="0"/>
                <w:sz w:val="20"/>
                <w:rtl/>
              </w:rPr>
              <w:t>[‎the cited source‎] ‎appears in the summary rather than being confined to the body‎.</w:t>
            </w:r>
          </w:p>
        </w:tc>
      </w:tr>
    </w:tbl>
    <w:p>
      <w:pPr>
        <w:bidi/>
        <w:jc w:val="start"/>
      </w:pPr>
    </w:p>
    <w:p>
      <w:pPr>
        <w:bidi/>
        <w:jc w:val="start"/>
      </w:pPr>
    </w:p>
    <w:p>
      <w:pPr>
        <w:bidi/>
        <w:jc w:val="start"/>
      </w:pPr>
      <w:r>
        <w:rPr>
          <w:rFonts w:ascii="Times New Roman" w:hAnsi="Times New Roman" w:cs="Times New Roman"/>
          <w:b/>
          <w:sz w:val="28"/>
          <w:rtl/>
        </w:rPr>
        <w:t>סקירה צפויה</w:t>
      </w:r>
    </w:p>
    <w:p>
      <w:pPr>
        <w:bidi/>
        <w:jc w:val="start"/>
      </w:pPr>
      <w:r>
        <w:rPr>
          <w:rFonts w:ascii="Times New Roman" w:hAnsi="Times New Roman" w:cs="Times New Roman"/>
          <w:b w:val="0"/>
          <w:color w:val="6B7280"/>
          <w:sz w:val="20"/>
          <w:rtl/>
        </w:rPr>
        <w:t>אומדן מכויל של איך שלוש פרסונות קוראים עשויות להגיב. יש לקרוא זאת כמשוב על המקום שבו כל סוג קורא היה לוחץ הכי חזק, לא כפסיקה סופית.</w:t>
      </w:r>
    </w:p>
    <w:p>
      <w:pPr>
        <w:bidi/>
        <w:jc w:val="start"/>
      </w:pPr>
      <w:r>
        <w:rPr>
          <w:rFonts w:ascii="Times New Roman" w:hAnsi="Times New Roman" w:cs="Times New Roman"/>
          <w:b/>
          <w:sz w:val="22"/>
          <w:rtl/>
        </w:rPr>
        <w:t>סבירות קבלה משוערת: ‏74‏/‏100‏ · תיקון צפוי: משמעותי</w:t>
      </w:r>
    </w:p>
    <w:tbl>
      <w:tblPr>
        <w:tblStyle w:val="TableGrid"/>
        <w:bidiVisual/>
        <w:tblW w:type="auto" w:w="0"/>
        <w:jc w:val="center"/>
        <w:tblLook w:firstColumn="1" w:firstRow="1" w:lastColumn="0" w:lastRow="0" w:noHBand="0" w:noVBand="1" w:val="04A0"/>
      </w:tblPr>
      <w:tblGrid>
        <w:gridCol w:w="2880"/>
        <w:gridCol w:w="2880"/>
        <w:gridCol w:w="2880"/>
      </w:tblGrid>
      <w:tr>
        <w:trPr>
          <w:tblHeader/>
          <w:cantSplit/>
        </w:trPr>
        <w:tc>
          <w:tcPr>
            <w:tcW w:type="dxa" w:w="2880"/>
            <w:shd w:val="clear" w:color="auto" w:fill="FF7A00"/>
          </w:tcPr>
          <w:p>
            <w:pPr>
              <w:bidi/>
              <w:jc w:val="start"/>
            </w:pPr>
            <w:r>
              <w:rPr>
                <w:rtl/>
              </w:rPr>
            </w:r>
            <w:r>
              <w:rPr>
                <w:rFonts w:ascii="Times New Roman" w:hAnsi="Times New Roman" w:cs="Times New Roman"/>
                <w:b/>
                <w:color w:val="FFFFFF"/>
                <w:sz w:val="20"/>
                <w:rtl/>
              </w:rPr>
              <w:t>קורא/ת</w:t>
            </w:r>
          </w:p>
        </w:tc>
        <w:tc>
          <w:tcPr>
            <w:tcW w:type="dxa" w:w="2160"/>
            <w:shd w:val="clear" w:color="auto" w:fill="FF7A00"/>
          </w:tcPr>
          <w:p>
            <w:pPr>
              <w:bidi/>
              <w:jc w:val="start"/>
            </w:pPr>
            <w:r>
              <w:rPr>
                <w:rtl/>
              </w:rPr>
            </w:r>
            <w:r>
              <w:rPr>
                <w:rFonts w:ascii="Times New Roman" w:hAnsi="Times New Roman" w:cs="Times New Roman"/>
                <w:b/>
                <w:color w:val="FFFFFF"/>
                <w:sz w:val="20"/>
                <w:rtl/>
              </w:rPr>
              <w:t>פסיקה צפויה</w:t>
            </w:r>
          </w:p>
        </w:tc>
        <w:tc>
          <w:tcPr>
            <w:tcW w:type="dxa" w:w="4320"/>
            <w:shd w:val="clear" w:color="auto" w:fill="FF7A00"/>
          </w:tcPr>
          <w:p>
            <w:pPr>
              <w:bidi/>
              <w:jc w:val="start"/>
            </w:pPr>
            <w:r>
              <w:rPr>
                <w:rtl/>
              </w:rPr>
            </w:r>
            <w:r>
              <w:rPr>
                <w:rFonts w:ascii="Times New Roman" w:hAnsi="Times New Roman" w:cs="Times New Roman"/>
                <w:b/>
                <w:color w:val="FFFFFF"/>
                <w:sz w:val="20"/>
                <w:rtl/>
              </w:rPr>
              <w:t>החשש המרכזי</w:t>
            </w:r>
          </w:p>
        </w:tc>
      </w:tr>
      <w:tr>
        <w:trPr>
          <w:cantSplit/>
        </w:trPr>
        <w:tc>
          <w:tcPr>
            <w:tcW w:type="dxa" w:w="2880"/>
          </w:tcPr>
          <w:p>
            <w:pPr>
              <w:bidi/>
              <w:jc w:val="start"/>
            </w:pPr>
            <w:r>
              <w:rPr>
                <w:rtl/>
              </w:rPr>
            </w:r>
            <w:r>
              <w:rPr>
                <w:rFonts w:ascii="Times New Roman" w:hAnsi="Times New Roman" w:cs="Times New Roman"/>
                <w:b/>
                <w:sz w:val="20"/>
                <w:rtl/>
              </w:rPr>
              <w:t>מנחה</w:t>
            </w:r>
          </w:p>
          <w:p>
            <w:pPr>
              <w:bidi/>
              <w:jc w:val="start"/>
            </w:pPr>
            <w:r>
              <w:rPr>
                <w:rFonts w:ascii="Times New Roman" w:hAnsi="Times New Roman" w:cs="Times New Roman"/>
                <w:color w:val="6B7280"/>
                <w:sz w:val="18"/>
                <w:rtl/>
              </w:rPr>
              <w:t>קורא/ת לאיכות מבנית, נאמנות להיקף שסוכם, ולסגנון אקדמי.</w:t>
            </w:r>
          </w:p>
        </w:tc>
        <w:tc>
          <w:tcPr>
            <w:tcW w:type="dxa" w:w="2160"/>
            <w:shd w:val="clear" w:color="auto" w:fill="FEF3C7"/>
          </w:tcPr>
          <w:p>
            <w:pPr>
              <w:bidi/>
              <w:jc w:val="start"/>
            </w:pPr>
            <w:r>
              <w:rPr>
                <w:rtl/>
              </w:rPr>
            </w:r>
            <w:r>
              <w:rPr>
                <w:rFonts w:ascii="Times New Roman" w:hAnsi="Times New Roman" w:cs="Times New Roman"/>
                <w:b/>
                <w:sz w:val="20"/>
                <w:rtl/>
              </w:rPr>
              <w:t>דורש ליטוש</w:t>
            </w:r>
          </w:p>
        </w:tc>
        <w:tc>
          <w:tcPr>
            <w:tcW w:type="dxa" w:w="4320"/>
          </w:tcPr>
          <w:p>
            <w:pPr>
              <w:bidi/>
              <w:jc w:val="start"/>
            </w:pPr>
            <w:r>
              <w:rPr>
                <w:rtl/>
              </w:rPr>
            </w:r>
            <w:r>
              <w:rPr>
                <w:rFonts w:ascii="Times New Roman" w:hAnsi="Times New Roman" w:cs="Times New Roman"/>
                <w:b w:val="0"/>
                <w:sz w:val="20"/>
                <w:rtl/>
              </w:rPr>
              <w:t>‎The structure and thesis are strong‎, ‎but the paper is more conceptually advanced than typical BA work and needs clearer explanatory scaffolding‎.</w:t>
            </w:r>
          </w:p>
        </w:tc>
      </w:tr>
      <w:tr>
        <w:trPr>
          <w:cantSplit/>
        </w:trPr>
        <w:tc>
          <w:tcPr>
            <w:tcW w:type="dxa" w:w="2880"/>
          </w:tcPr>
          <w:p>
            <w:pPr>
              <w:bidi/>
              <w:jc w:val="start"/>
            </w:pPr>
            <w:r>
              <w:rPr>
                <w:rtl/>
              </w:rPr>
            </w:r>
            <w:r>
              <w:rPr>
                <w:rFonts w:ascii="Times New Roman" w:hAnsi="Times New Roman" w:cs="Times New Roman"/>
                <w:b/>
                <w:sz w:val="20"/>
                <w:rtl/>
              </w:rPr>
              <w:t>בוחן/ת חיצוני/ת</w:t>
            </w:r>
          </w:p>
          <w:p>
            <w:pPr>
              <w:bidi/>
              <w:jc w:val="start"/>
            </w:pPr>
            <w:r>
              <w:rPr>
                <w:rFonts w:ascii="Times New Roman" w:hAnsi="Times New Roman" w:cs="Times New Roman"/>
                <w:color w:val="6B7280"/>
                <w:sz w:val="18"/>
                <w:rtl/>
              </w:rPr>
              <w:t>קורא/ת קריאה ראשונית לבהירות התרומה, חוזק הראיות ויכולת הגנה על הטענות.</w:t>
            </w:r>
          </w:p>
        </w:tc>
        <w:tc>
          <w:tcPr>
            <w:tcW w:type="dxa" w:w="2160"/>
            <w:shd w:val="clear" w:color="auto" w:fill="FEE2E2"/>
          </w:tcPr>
          <w:p>
            <w:pPr>
              <w:bidi/>
              <w:jc w:val="start"/>
            </w:pPr>
            <w:r>
              <w:rPr>
                <w:rtl/>
              </w:rPr>
            </w:r>
            <w:r>
              <w:rPr>
                <w:rFonts w:ascii="Times New Roman" w:hAnsi="Times New Roman" w:cs="Times New Roman"/>
                <w:b/>
                <w:sz w:val="20"/>
                <w:rtl/>
              </w:rPr>
              <w:t>דורש שיפור משמעותי</w:t>
            </w:r>
          </w:p>
        </w:tc>
        <w:tc>
          <w:tcPr>
            <w:tcW w:type="dxa" w:w="4320"/>
          </w:tcPr>
          <w:p>
            <w:pPr>
              <w:bidi/>
              <w:jc w:val="start"/>
            </w:pPr>
            <w:r>
              <w:rPr>
                <w:rtl/>
              </w:rPr>
            </w:r>
            <w:r>
              <w:rPr>
                <w:rFonts w:ascii="Times New Roman" w:hAnsi="Times New Roman" w:cs="Times New Roman"/>
                <w:b w:val="0"/>
                <w:sz w:val="20"/>
                <w:rtl/>
              </w:rPr>
              <w:t>‎The literature review contains citation-integrity problems and unsupported theoretical claims that must be corrected before submission‎.</w:t>
            </w:r>
          </w:p>
        </w:tc>
      </w:tr>
      <w:tr>
        <w:trPr>
          <w:cantSplit/>
        </w:trPr>
        <w:tc>
          <w:tcPr>
            <w:tcW w:type="dxa" w:w="2880"/>
          </w:tcPr>
          <w:p>
            <w:pPr>
              <w:bidi/>
              <w:jc w:val="start"/>
            </w:pPr>
            <w:r>
              <w:rPr>
                <w:rtl/>
              </w:rPr>
            </w:r>
            <w:r>
              <w:rPr>
                <w:rFonts w:ascii="Times New Roman" w:hAnsi="Times New Roman" w:cs="Times New Roman"/>
                <w:b/>
                <w:sz w:val="20"/>
                <w:rtl/>
              </w:rPr>
              <w:t>עמית/ת תחום</w:t>
            </w:r>
          </w:p>
          <w:p>
            <w:pPr>
              <w:bidi/>
              <w:jc w:val="start"/>
            </w:pPr>
            <w:r>
              <w:rPr>
                <w:rFonts w:ascii="Times New Roman" w:hAnsi="Times New Roman" w:cs="Times New Roman"/>
                <w:color w:val="6B7280"/>
                <w:sz w:val="18"/>
                <w:rtl/>
              </w:rPr>
              <w:t>קורא/ת לדיוק טכני ולעדכניות הספרות המצוטטת.</w:t>
            </w:r>
          </w:p>
        </w:tc>
        <w:tc>
          <w:tcPr>
            <w:tcW w:type="dxa" w:w="2160"/>
            <w:shd w:val="clear" w:color="auto" w:fill="FEF3C7"/>
          </w:tcPr>
          <w:p>
            <w:pPr>
              <w:bidi/>
              <w:jc w:val="start"/>
            </w:pPr>
            <w:r>
              <w:rPr>
                <w:rtl/>
              </w:rPr>
            </w:r>
            <w:r>
              <w:rPr>
                <w:rFonts w:ascii="Times New Roman" w:hAnsi="Times New Roman" w:cs="Times New Roman"/>
                <w:b/>
                <w:sz w:val="20"/>
                <w:rtl/>
              </w:rPr>
              <w:t>דורש ליטוש</w:t>
            </w:r>
          </w:p>
        </w:tc>
        <w:tc>
          <w:tcPr>
            <w:tcW w:type="dxa" w:w="4320"/>
          </w:tcPr>
          <w:p>
            <w:pPr>
              <w:bidi/>
              <w:jc w:val="start"/>
            </w:pPr>
            <w:r>
              <w:rPr>
                <w:rtl/>
              </w:rPr>
            </w:r>
            <w:r>
              <w:rPr>
                <w:rFonts w:ascii="Times New Roman" w:hAnsi="Times New Roman" w:cs="Times New Roman"/>
                <w:b w:val="0"/>
                <w:sz w:val="20"/>
                <w:rtl/>
              </w:rPr>
              <w:t>‎The synthesis is interesting‎, ‎but several plan-relevant sources on disclosure‎, ‏originality‏, ‎and delegation are not used directly enough‎.</w:t>
            </w:r>
          </w:p>
        </w:tc>
      </w:tr>
    </w:tbl>
    <w:p>
      <w:pPr>
        <w:bidi/>
        <w:jc w:val="start"/>
      </w:pPr>
    </w:p>
    <w:p>
      <w:pPr>
        <w:bidi/>
        <w:jc w:val="start"/>
      </w:pPr>
      <w:r>
        <w:rPr>
          <w:rFonts w:ascii="Times New Roman" w:hAnsi="Times New Roman" w:cs="Times New Roman"/>
          <w:b/>
          <w:sz w:val="28"/>
          <w:rtl/>
        </w:rPr>
        <w:t>איך לסיים את העבודה</w:t>
      </w:r>
    </w:p>
    <w:p>
      <w:pPr>
        <w:bidi/>
        <w:jc w:val="start"/>
      </w:pPr>
      <w:r>
        <w:rPr>
          <w:rFonts w:ascii="Times New Roman" w:hAnsi="Times New Roman" w:cs="Times New Roman"/>
          <w:b w:val="0"/>
          <w:color w:val="6B7280"/>
          <w:sz w:val="20"/>
          <w:rtl/>
        </w:rPr>
        <w:t>אלו הפריטים בעדיפות הגבוהה ביותר שהתיקון האוטומטי לא הצליח לסגור — הפריטים שאנחנו היינו לוקחים ראשונים אם היו לנו יותר סבבים. אלה לא כל הממצאים: טבלת הפרקים שמופיעה למעלה בדוח הזה מציגה כל ממצא שהסקירה סימנה. ברוב המקרים, אחרי שמטפלים בפריטים שלמטה, שאר הממצאים מצטמצמים או נסגרים מעצמם. בכל פריט מצוין היכן בעבודה לחפש, מה חסר, והוראה קונקרטית. הטקסט בשפת העבודה כדי שתוכל/י להדביק תוכן חדש ישירות.</w:t>
      </w:r>
    </w:p>
    <w:tbl>
      <w:tblPr>
        <w:bidiVisual/>
        <w:tblW w:type="auto" w:w="0"/>
        <w:jc w:val="center"/>
        <w:tblLook w:firstColumn="1" w:firstRow="1" w:lastColumn="0" w:lastRow="0" w:noHBand="0" w:noVBand="1" w:val="04A0"/>
      </w:tblPr>
      <w:tblGrid>
        <w:gridCol w:w="1440"/>
        <w:gridCol w:w="1440"/>
        <w:gridCol w:w="1440"/>
        <w:gridCol w:w="1440"/>
        <w:gridCol w:w="1440"/>
        <w:gridCol w:w="1440"/>
      </w:tblGrid>
      <w:tr>
        <w:trPr>
          <w:tblHeader/>
          <w:cantSplit/>
        </w:trPr>
        <w:tc>
          <w:tcPr>
            <w:tcW w:type="dxa" w:w="1440"/>
            <w:shd w:val="clear" w:color="auto" w:fill="FF7A00"/>
          </w:tcPr>
          <w:p>
            <w:pPr>
              <w:bidi/>
              <w:jc w:val="start"/>
            </w:pPr>
            <w:r>
              <w:rPr>
                <w:rtl/>
              </w:rPr>
            </w:r>
            <w:r>
              <w:rPr>
                <w:rFonts w:ascii="Times New Roman" w:hAnsi="Times New Roman" w:cs="Times New Roman"/>
                <w:b/>
                <w:sz w:val="20"/>
                <w:rtl/>
              </w:rPr>
              <w:t>עדיפות</w:t>
            </w:r>
          </w:p>
        </w:tc>
        <w:tc>
          <w:tcPr>
            <w:tcW w:type="dxa" w:w="1440"/>
            <w:shd w:val="clear" w:color="auto" w:fill="FF7A00"/>
          </w:tcPr>
          <w:p>
            <w:pPr>
              <w:bidi/>
              <w:jc w:val="start"/>
            </w:pPr>
            <w:r>
              <w:rPr>
                <w:rtl/>
              </w:rPr>
            </w:r>
            <w:r>
              <w:rPr>
                <w:rFonts w:ascii="Times New Roman" w:hAnsi="Times New Roman" w:cs="Times New Roman"/>
                <w:b/>
                <w:sz w:val="20"/>
                <w:rtl/>
              </w:rPr>
              <w:t>היכן</w:t>
            </w:r>
          </w:p>
        </w:tc>
        <w:tc>
          <w:tcPr>
            <w:tcW w:type="dxa" w:w="1440"/>
            <w:shd w:val="clear" w:color="auto" w:fill="FF7A00"/>
          </w:tcPr>
          <w:p>
            <w:pPr>
              <w:bidi/>
              <w:jc w:val="start"/>
            </w:pPr>
            <w:r>
              <w:rPr>
                <w:rtl/>
              </w:rPr>
            </w:r>
            <w:r>
              <w:rPr>
                <w:rFonts w:ascii="Times New Roman" w:hAnsi="Times New Roman" w:cs="Times New Roman"/>
                <w:b/>
                <w:sz w:val="20"/>
                <w:rtl/>
              </w:rPr>
              <w:t>מה חסר</w:t>
            </w:r>
          </w:p>
        </w:tc>
        <w:tc>
          <w:tcPr>
            <w:tcW w:type="dxa" w:w="1440"/>
            <w:shd w:val="clear" w:color="auto" w:fill="FF7A00"/>
          </w:tcPr>
          <w:p>
            <w:pPr>
              <w:bidi/>
              <w:jc w:val="start"/>
            </w:pPr>
            <w:r>
              <w:rPr>
                <w:rtl/>
              </w:rPr>
            </w:r>
            <w:r>
              <w:rPr>
                <w:rFonts w:ascii="Times New Roman" w:hAnsi="Times New Roman" w:cs="Times New Roman"/>
                <w:b/>
                <w:sz w:val="20"/>
                <w:rtl/>
              </w:rPr>
              <w:t>איך לתקן</w:t>
            </w:r>
          </w:p>
        </w:tc>
        <w:tc>
          <w:tcPr>
            <w:tcW w:type="dxa" w:w="1440"/>
            <w:shd w:val="clear" w:color="auto" w:fill="FF7A00"/>
          </w:tcPr>
          <w:p>
            <w:pPr>
              <w:bidi/>
              <w:jc w:val="start"/>
            </w:pPr>
            <w:r>
              <w:rPr>
                <w:rtl/>
              </w:rPr>
            </w:r>
            <w:r>
              <w:rPr>
                <w:rFonts w:ascii="Times New Roman" w:hAnsi="Times New Roman" w:cs="Times New Roman"/>
                <w:b/>
                <w:sz w:val="20"/>
                <w:rtl/>
              </w:rPr>
              <w:t>רמז חיפוש</w:t>
            </w:r>
          </w:p>
        </w:tc>
        <w:tc>
          <w:tcPr>
            <w:tcW w:type="dxa" w:w="1440"/>
            <w:shd w:val="clear" w:color="auto" w:fill="FF7A00"/>
          </w:tcPr>
          <w:p>
            <w:pPr>
              <w:bidi/>
              <w:jc w:val="start"/>
            </w:pPr>
            <w:r>
              <w:rPr>
                <w:rtl/>
              </w:rPr>
            </w:r>
            <w:r>
              <w:rPr>
                <w:rFonts w:ascii="Times New Roman" w:hAnsi="Times New Roman" w:cs="Times New Roman"/>
                <w:b/>
                <w:sz w:val="20"/>
                <w:rtl/>
              </w:rPr>
              <w:t>זמן משוער</w:t>
            </w:r>
          </w:p>
        </w:tc>
      </w:tr>
      <w:tr>
        <w:trPr>
          <w:cantSplit/>
        </w:trPr>
        <w:tc>
          <w:tcPr>
            <w:tcW w:type="dxa" w:w="1440"/>
            <w:shd w:val="clear" w:color="auto" w:fill="FEE2E2"/>
          </w:tcPr>
          <w:p>
            <w:pPr>
              <w:bidi/>
              <w:jc w:val="start"/>
            </w:pPr>
            <w:r>
              <w:rPr>
                <w:rtl/>
              </w:rPr>
            </w:r>
            <w:r>
              <w:rPr>
                <w:rFonts w:ascii="Times New Roman" w:hAnsi="Times New Roman" w:cs="Times New Roman"/>
                <w:b/>
                <w:sz w:val="20"/>
                <w:rtl/>
              </w:rPr>
              <w:t>גבוהה</w:t>
            </w:r>
          </w:p>
        </w:tc>
        <w:tc>
          <w:tcPr>
            <w:tcW w:type="dxa" w:w="1440"/>
          </w:tcPr>
          <w:p>
            <w:pPr>
              <w:bidi/>
              <w:jc w:val="start"/>
            </w:pPr>
            <w:r>
              <w:rPr>
                <w:rtl/>
              </w:rPr>
            </w:r>
            <w:r>
              <w:rPr>
                <w:rFonts w:ascii="Times New Roman" w:hAnsi="Times New Roman" w:cs="Times New Roman"/>
                <w:b w:val="0"/>
                <w:sz w:val="20"/>
                <w:rtl/>
              </w:rPr>
              <w:t>‎Literature Review‎ — ‎Authorship as Spectrum‎</w:t>
            </w:r>
          </w:p>
        </w:tc>
        <w:tc>
          <w:tcPr>
            <w:tcW w:type="dxa" w:w="1440"/>
          </w:tcPr>
          <w:p>
            <w:pPr>
              <w:bidi/>
              <w:jc w:val="start"/>
            </w:pPr>
            <w:r>
              <w:rPr>
                <w:rtl/>
              </w:rPr>
            </w:r>
            <w:r>
              <w:rPr>
                <w:rFonts w:ascii="Times New Roman" w:hAnsi="Times New Roman" w:cs="Times New Roman"/>
                <w:b w:val="0"/>
                <w:sz w:val="20"/>
                <w:rtl/>
              </w:rPr>
              <w:t>‎Some citation markers are invalid or appear to support claims that do not match the cited source identities‎.</w:t>
            </w:r>
          </w:p>
        </w:tc>
        <w:tc>
          <w:tcPr>
            <w:tcW w:type="dxa" w:w="1440"/>
          </w:tcPr>
          <w:p>
            <w:pPr>
              <w:bidi/>
              <w:jc w:val="start"/>
            </w:pPr>
            <w:r>
              <w:rPr>
                <w:rtl/>
              </w:rPr>
            </w:r>
            <w:r>
              <w:rPr>
                <w:rFonts w:ascii="Times New Roman" w:hAnsi="Times New Roman" w:cs="Times New Roman"/>
                <w:b w:val="0"/>
                <w:sz w:val="20"/>
                <w:rtl/>
              </w:rPr>
              <w:t>‎Replace [found:001] and [found:002] with valid [cite:NNN] markers. Check [the cited source] and [the cited source]‎; ‎if the claims are really about Barthes or Foucault‎, ‎either cite verified sources or rewrite the claims around Henrickson and Rodrigues‎.</w:t>
            </w:r>
          </w:p>
        </w:tc>
        <w:tc>
          <w:tcPr>
            <w:tcW w:type="dxa" w:w="1440"/>
          </w:tcPr>
          <w:p>
            <w:pPr>
              <w:bidi/>
              <w:jc w:val="start"/>
            </w:pPr>
            <w:r>
              <w:rPr>
                <w:rtl/>
              </w:rPr>
            </w:r>
            <w:r>
              <w:rPr>
                <w:rFonts w:ascii="Times New Roman" w:hAnsi="Times New Roman" w:cs="Times New Roman"/>
                <w:b w:val="0"/>
                <w:sz w:val="20"/>
                <w:rtl/>
              </w:rPr>
              <w:t>‎algorithmic authorship author-function generative AI authorship‎</w:t>
            </w:r>
          </w:p>
        </w:tc>
        <w:tc>
          <w:tcPr>
            <w:tcW w:type="dxa" w:w="1440"/>
          </w:tcPr>
          <w:p>
            <w:pPr>
              <w:bidi/>
              <w:jc w:val="start"/>
            </w:pPr>
            <w:r>
              <w:rPr>
                <w:rtl/>
              </w:rPr>
            </w:r>
            <w:r>
              <w:rPr>
                <w:rFonts w:ascii="Times New Roman" w:hAnsi="Times New Roman" w:cs="Times New Roman"/>
                <w:b w:val="0"/>
                <w:sz w:val="20"/>
                <w:rtl/>
              </w:rPr>
              <w:t>‏60‏ דק׳</w:t>
            </w:r>
          </w:p>
        </w:tc>
      </w:tr>
      <w:tr>
        <w:trPr>
          <w:cantSplit/>
        </w:trPr>
        <w:tc>
          <w:tcPr>
            <w:tcW w:type="dxa" w:w="1440"/>
            <w:shd w:val="clear" w:color="auto" w:fill="FEE2E2"/>
          </w:tcPr>
          <w:p>
            <w:pPr>
              <w:bidi/>
              <w:jc w:val="start"/>
            </w:pPr>
            <w:r>
              <w:rPr>
                <w:rtl/>
              </w:rPr>
            </w:r>
            <w:r>
              <w:rPr>
                <w:rFonts w:ascii="Times New Roman" w:hAnsi="Times New Roman" w:cs="Times New Roman"/>
                <w:b/>
                <w:sz w:val="20"/>
                <w:rtl/>
              </w:rPr>
              <w:t>גבוהה</w:t>
            </w:r>
          </w:p>
        </w:tc>
        <w:tc>
          <w:tcPr>
            <w:tcW w:type="dxa" w:w="1440"/>
          </w:tcPr>
          <w:p>
            <w:pPr>
              <w:bidi/>
              <w:jc w:val="start"/>
            </w:pPr>
            <w:r>
              <w:rPr>
                <w:rtl/>
              </w:rPr>
            </w:r>
            <w:r>
              <w:rPr>
                <w:rFonts w:ascii="Times New Roman" w:hAnsi="Times New Roman" w:cs="Times New Roman"/>
                <w:b w:val="0"/>
                <w:sz w:val="20"/>
                <w:rtl/>
              </w:rPr>
              <w:t>‏Discussion‏ — ‎Theoretical Synthesis and Theoretical Contribution‎</w:t>
            </w:r>
          </w:p>
        </w:tc>
        <w:tc>
          <w:tcPr>
            <w:tcW w:type="dxa" w:w="1440"/>
          </w:tcPr>
          <w:p>
            <w:pPr>
              <w:bidi/>
              <w:jc w:val="start"/>
            </w:pPr>
            <w:r>
              <w:rPr>
                <w:rtl/>
              </w:rPr>
            </w:r>
            <w:r>
              <w:rPr>
                <w:rFonts w:ascii="Times New Roman" w:hAnsi="Times New Roman" w:cs="Times New Roman"/>
                <w:b w:val="0"/>
                <w:sz w:val="20"/>
                <w:rtl/>
              </w:rPr>
              <w:t>‎The continuum argument is persuasive but does not cite the plan evidence on delegation‎, ‏originality‏, ‎and disclosure directly enough‎.</w:t>
            </w:r>
          </w:p>
        </w:tc>
        <w:tc>
          <w:tcPr>
            <w:tcW w:type="dxa" w:w="1440"/>
          </w:tcPr>
          <w:p>
            <w:pPr>
              <w:bidi/>
              <w:jc w:val="start"/>
            </w:pPr>
            <w:r>
              <w:rPr>
                <w:rtl/>
              </w:rPr>
            </w:r>
            <w:r>
              <w:rPr>
                <w:rFonts w:ascii="Times New Roman" w:hAnsi="Times New Roman" w:cs="Times New Roman"/>
                <w:b w:val="0"/>
                <w:sz w:val="20"/>
                <w:rtl/>
              </w:rPr>
              <w:t>‎Add explicit citations and reasoning for the key steps‎: ‎AI as epistemic delegation‎, ‎originality as relational‎, ‎and disclosure as the academic-integrity standard‎. ‎Make each source do visible argumentative work‎.</w:t>
            </w:r>
          </w:p>
        </w:tc>
        <w:tc>
          <w:tcPr>
            <w:tcW w:type="dxa" w:w="1440"/>
          </w:tcPr>
          <w:p>
            <w:pPr>
              <w:bidi/>
              <w:jc w:val="start"/>
            </w:pPr>
            <w:r>
              <w:rPr>
                <w:rtl/>
              </w:rPr>
            </w:r>
            <w:r>
              <w:rPr>
                <w:rFonts w:ascii="Times New Roman" w:hAnsi="Times New Roman" w:cs="Times New Roman"/>
                <w:b w:val="0"/>
                <w:sz w:val="20"/>
                <w:rtl/>
              </w:rPr>
              <w:t>‎AI epistemic delegation authorship disclosure academic integrity originality‎</w:t>
            </w:r>
          </w:p>
        </w:tc>
        <w:tc>
          <w:tcPr>
            <w:tcW w:type="dxa" w:w="1440"/>
          </w:tcPr>
          <w:p>
            <w:pPr>
              <w:bidi/>
              <w:jc w:val="start"/>
            </w:pPr>
            <w:r>
              <w:rPr>
                <w:rtl/>
              </w:rPr>
            </w:r>
            <w:r>
              <w:rPr>
                <w:rFonts w:ascii="Times New Roman" w:hAnsi="Times New Roman" w:cs="Times New Roman"/>
                <w:b w:val="0"/>
                <w:sz w:val="20"/>
                <w:rtl/>
              </w:rPr>
              <w:t>‏75‏ דק׳</w:t>
            </w:r>
          </w:p>
        </w:tc>
      </w:tr>
      <w:tr>
        <w:trPr>
          <w:cantSplit/>
        </w:trPr>
        <w:tc>
          <w:tcPr>
            <w:tcW w:type="dxa" w:w="1440"/>
            <w:shd w:val="clear" w:color="auto" w:fill="FEF3C7"/>
          </w:tcPr>
          <w:p>
            <w:pPr>
              <w:bidi/>
              <w:jc w:val="start"/>
            </w:pPr>
            <w:r>
              <w:rPr>
                <w:rtl/>
              </w:rPr>
            </w:r>
            <w:r>
              <w:rPr>
                <w:rFonts w:ascii="Times New Roman" w:hAnsi="Times New Roman" w:cs="Times New Roman"/>
                <w:b/>
                <w:sz w:val="20"/>
                <w:rtl/>
              </w:rPr>
              <w:t>בינונית</w:t>
            </w:r>
          </w:p>
        </w:tc>
        <w:tc>
          <w:tcPr>
            <w:tcW w:type="dxa" w:w="1440"/>
          </w:tcPr>
          <w:p>
            <w:pPr>
              <w:bidi/>
              <w:jc w:val="start"/>
            </w:pPr>
            <w:r>
              <w:rPr>
                <w:rtl/>
              </w:rPr>
            </w:r>
            <w:r>
              <w:rPr>
                <w:rFonts w:ascii="Times New Roman" w:hAnsi="Times New Roman" w:cs="Times New Roman"/>
                <w:b w:val="0"/>
                <w:sz w:val="20"/>
                <w:rtl/>
              </w:rPr>
              <w:t>‎Introduction and Discussion‎</w:t>
            </w:r>
          </w:p>
        </w:tc>
        <w:tc>
          <w:tcPr>
            <w:tcW w:type="dxa" w:w="1440"/>
          </w:tcPr>
          <w:p>
            <w:pPr>
              <w:bidi/>
              <w:jc w:val="start"/>
            </w:pPr>
            <w:r>
              <w:rPr>
                <w:rtl/>
              </w:rPr>
            </w:r>
            <w:r>
              <w:rPr>
                <w:rFonts w:ascii="Times New Roman" w:hAnsi="Times New Roman" w:cs="Times New Roman"/>
                <w:b w:val="0"/>
                <w:sz w:val="20"/>
                <w:rtl/>
              </w:rPr>
              <w:t>‎The writing is stronger than required for BA level but sometimes becomes too abstract for a descriptive undergraduate paper‎.</w:t>
            </w:r>
          </w:p>
        </w:tc>
        <w:tc>
          <w:tcPr>
            <w:tcW w:type="dxa" w:w="1440"/>
          </w:tcPr>
          <w:p>
            <w:pPr>
              <w:bidi/>
              <w:jc w:val="start"/>
            </w:pPr>
            <w:r>
              <w:rPr>
                <w:rtl/>
              </w:rPr>
            </w:r>
            <w:r>
              <w:rPr>
                <w:rFonts w:ascii="Times New Roman" w:hAnsi="Times New Roman" w:cs="Times New Roman"/>
                <w:b w:val="0"/>
                <w:sz w:val="20"/>
                <w:rtl/>
              </w:rPr>
              <w:t>‎Define key terms such as‎ “‏author-function‏”, “‎epistemic agency‎”, “‏assemblage‏”, ‏and‏ “‎delegation continuum‎” ‎in plain language before analysing them‎. ‎Add short examples of AI-assisted academic writing after dense theoretical claims‎.</w:t>
            </w:r>
          </w:p>
        </w:tc>
        <w:tc>
          <w:tcPr>
            <w:tcW w:type="dxa" w:w="1440"/>
          </w:tcPr>
          <w:p>
            <w:pPr>
              <w:bidi/>
              <w:jc w:val="start"/>
            </w:pPr>
            <w:r>
              <w:rPr>
                <w:rtl/>
              </w:rPr>
            </w:r>
            <w:r>
              <w:rPr>
                <w:rFonts w:ascii="Times New Roman" w:hAnsi="Times New Roman" w:cs="Times New Roman"/>
                <w:b w:val="0"/>
                <w:sz w:val="20"/>
                <w:rtl/>
              </w:rPr>
              <w:t>—</w:t>
            </w:r>
          </w:p>
        </w:tc>
        <w:tc>
          <w:tcPr>
            <w:tcW w:type="dxa" w:w="1440"/>
          </w:tcPr>
          <w:p>
            <w:pPr>
              <w:bidi/>
              <w:jc w:val="start"/>
            </w:pPr>
            <w:r>
              <w:rPr>
                <w:rtl/>
              </w:rPr>
            </w:r>
            <w:r>
              <w:rPr>
                <w:rFonts w:ascii="Times New Roman" w:hAnsi="Times New Roman" w:cs="Times New Roman"/>
                <w:b w:val="0"/>
                <w:sz w:val="20"/>
                <w:rtl/>
              </w:rPr>
              <w:t>‏45‏ דק׳</w:t>
            </w:r>
          </w:p>
        </w:tc>
      </w:tr>
      <w:tr>
        <w:trPr>
          <w:cantSplit/>
        </w:trPr>
        <w:tc>
          <w:tcPr>
            <w:tcW w:type="dxa" w:w="1440"/>
            <w:shd w:val="clear" w:color="auto" w:fill="FEF3C7"/>
          </w:tcPr>
          <w:p>
            <w:pPr>
              <w:bidi/>
              <w:jc w:val="start"/>
            </w:pPr>
            <w:r>
              <w:rPr>
                <w:rtl/>
              </w:rPr>
            </w:r>
            <w:r>
              <w:rPr>
                <w:rFonts w:ascii="Times New Roman" w:hAnsi="Times New Roman" w:cs="Times New Roman"/>
                <w:b/>
                <w:sz w:val="20"/>
                <w:rtl/>
              </w:rPr>
              <w:t>בינונית</w:t>
            </w:r>
          </w:p>
        </w:tc>
        <w:tc>
          <w:tcPr>
            <w:tcW w:type="dxa" w:w="1440"/>
          </w:tcPr>
          <w:p>
            <w:pPr>
              <w:bidi/>
              <w:jc w:val="start"/>
            </w:pPr>
            <w:r>
              <w:rPr>
                <w:rtl/>
              </w:rPr>
            </w:r>
            <w:r>
              <w:rPr>
                <w:rFonts w:ascii="Times New Roman" w:hAnsi="Times New Roman" w:cs="Times New Roman"/>
                <w:b w:val="0"/>
                <w:sz w:val="20"/>
                <w:rtl/>
              </w:rPr>
              <w:t>‏Summary‏ — ‎Recap of the Argument‎</w:t>
            </w:r>
          </w:p>
        </w:tc>
        <w:tc>
          <w:tcPr>
            <w:tcW w:type="dxa" w:w="1440"/>
          </w:tcPr>
          <w:p>
            <w:pPr>
              <w:bidi/>
              <w:jc w:val="start"/>
            </w:pPr>
            <w:r>
              <w:rPr>
                <w:rtl/>
              </w:rPr>
            </w:r>
            <w:r>
              <w:rPr>
                <w:rFonts w:ascii="Times New Roman" w:hAnsi="Times New Roman" w:cs="Times New Roman"/>
                <w:b w:val="0"/>
                <w:sz w:val="20"/>
                <w:rtl/>
              </w:rPr>
              <w:t>‎The conclusion introduces a new citation instead of relying only on evidence already discussed in the body‎.</w:t>
            </w:r>
          </w:p>
        </w:tc>
        <w:tc>
          <w:tcPr>
            <w:tcW w:type="dxa" w:w="1440"/>
          </w:tcPr>
          <w:p>
            <w:pPr>
              <w:bidi/>
              <w:jc w:val="start"/>
            </w:pPr>
            <w:r>
              <w:rPr>
                <w:rtl/>
              </w:rPr>
            </w:r>
            <w:r>
              <w:rPr>
                <w:rFonts w:ascii="Times New Roman" w:hAnsi="Times New Roman" w:cs="Times New Roman"/>
                <w:b w:val="0"/>
                <w:sz w:val="20"/>
                <w:rtl/>
              </w:rPr>
              <w:t>‎Move the‎ [‎the cited source‎] ‎spectrum claim into the literature review or discussion‎, ‎then restate it in the summary without a new citation‎. ‎The conclusion should synthesize‎, ‎not introduce new support‎.</w:t>
            </w:r>
          </w:p>
        </w:tc>
        <w:tc>
          <w:tcPr>
            <w:tcW w:type="dxa" w:w="1440"/>
          </w:tcPr>
          <w:p>
            <w:pPr>
              <w:bidi/>
              <w:jc w:val="start"/>
            </w:pPr>
            <w:r>
              <w:rPr>
                <w:rtl/>
              </w:rPr>
            </w:r>
            <w:r>
              <w:rPr>
                <w:rFonts w:ascii="Times New Roman" w:hAnsi="Times New Roman" w:cs="Times New Roman"/>
                <w:b w:val="0"/>
                <w:sz w:val="20"/>
                <w:rtl/>
              </w:rPr>
              <w:t>—</w:t>
            </w:r>
          </w:p>
        </w:tc>
        <w:tc>
          <w:tcPr>
            <w:tcW w:type="dxa" w:w="1440"/>
          </w:tcPr>
          <w:p>
            <w:pPr>
              <w:bidi/>
              <w:jc w:val="start"/>
            </w:pPr>
            <w:r>
              <w:rPr>
                <w:rtl/>
              </w:rPr>
            </w:r>
            <w:r>
              <w:rPr>
                <w:rFonts w:ascii="Times New Roman" w:hAnsi="Times New Roman" w:cs="Times New Roman"/>
                <w:b w:val="0"/>
                <w:sz w:val="20"/>
                <w:rtl/>
              </w:rPr>
              <w:t>‏25‏ דק׳</w:t>
            </w:r>
          </w:p>
        </w:tc>
      </w:tr>
      <w:tr>
        <w:trPr>
          <w:cantSplit/>
        </w:trPr>
        <w:tc>
          <w:tcPr>
            <w:tcW w:type="dxa" w:w="1440"/>
            <w:shd w:val="clear" w:color="auto" w:fill="FEF3C7"/>
          </w:tcPr>
          <w:p>
            <w:pPr>
              <w:bidi/>
              <w:jc w:val="start"/>
            </w:pPr>
            <w:r>
              <w:rPr>
                <w:rtl/>
              </w:rPr>
            </w:r>
            <w:r>
              <w:rPr>
                <w:rFonts w:ascii="Times New Roman" w:hAnsi="Times New Roman" w:cs="Times New Roman"/>
                <w:b/>
                <w:sz w:val="20"/>
                <w:rtl/>
              </w:rPr>
              <w:t>בינונית</w:t>
            </w:r>
          </w:p>
        </w:tc>
        <w:tc>
          <w:tcPr>
            <w:tcW w:type="dxa" w:w="1440"/>
          </w:tcPr>
          <w:p>
            <w:pPr>
              <w:bidi/>
              <w:jc w:val="start"/>
            </w:pPr>
            <w:r>
              <w:rPr>
                <w:rtl/>
              </w:rPr>
            </w:r>
            <w:r>
              <w:rPr>
                <w:rFonts w:ascii="Times New Roman" w:hAnsi="Times New Roman" w:cs="Times New Roman"/>
                <w:b w:val="0"/>
                <w:sz w:val="20"/>
                <w:rtl/>
              </w:rPr>
              <w:t>‏Limitations‏</w:t>
            </w:r>
          </w:p>
        </w:tc>
        <w:tc>
          <w:tcPr>
            <w:tcW w:type="dxa" w:w="1440"/>
          </w:tcPr>
          <w:p>
            <w:pPr>
              <w:bidi/>
              <w:jc w:val="start"/>
            </w:pPr>
            <w:r>
              <w:rPr>
                <w:rtl/>
              </w:rPr>
            </w:r>
            <w:r>
              <w:rPr>
                <w:rFonts w:ascii="Times New Roman" w:hAnsi="Times New Roman" w:cs="Times New Roman"/>
                <w:b w:val="0"/>
                <w:sz w:val="20"/>
                <w:rtl/>
              </w:rPr>
              <w:t>‎The limitations name weaknesses but do not state mitigation steps or the likely direction of bias‎.</w:t>
            </w:r>
          </w:p>
        </w:tc>
        <w:tc>
          <w:tcPr>
            <w:tcW w:type="dxa" w:w="1440"/>
          </w:tcPr>
          <w:p>
            <w:pPr>
              <w:bidi/>
              <w:jc w:val="start"/>
            </w:pPr>
            <w:r>
              <w:rPr>
                <w:rtl/>
              </w:rPr>
            </w:r>
            <w:r>
              <w:rPr>
                <w:rFonts w:ascii="Times New Roman" w:hAnsi="Times New Roman" w:cs="Times New Roman"/>
                <w:b w:val="0"/>
                <w:sz w:val="20"/>
                <w:rtl/>
              </w:rPr>
              <w:t>‎Add one sentence explaining how the Western‎/‎theoretical source base may bias the synthesis‎, ‎and one sentence stating what was done to reduce that limitation‎, ‎such as using interdisciplinary sources within the allowed corpus‎.</w:t>
            </w:r>
          </w:p>
        </w:tc>
        <w:tc>
          <w:tcPr>
            <w:tcW w:type="dxa" w:w="1440"/>
          </w:tcPr>
          <w:p>
            <w:pPr>
              <w:bidi/>
              <w:jc w:val="start"/>
            </w:pPr>
            <w:r>
              <w:rPr>
                <w:rtl/>
              </w:rPr>
            </w:r>
            <w:r>
              <w:rPr>
                <w:rFonts w:ascii="Times New Roman" w:hAnsi="Times New Roman" w:cs="Times New Roman"/>
                <w:b w:val="0"/>
                <w:sz w:val="20"/>
                <w:rtl/>
              </w:rPr>
              <w:t>—</w:t>
            </w:r>
          </w:p>
        </w:tc>
        <w:tc>
          <w:tcPr>
            <w:tcW w:type="dxa" w:w="1440"/>
          </w:tcPr>
          <w:p>
            <w:pPr>
              <w:bidi/>
              <w:jc w:val="start"/>
            </w:pPr>
            <w:r>
              <w:rPr>
                <w:rtl/>
              </w:rPr>
            </w:r>
            <w:r>
              <w:rPr>
                <w:rFonts w:ascii="Times New Roman" w:hAnsi="Times New Roman" w:cs="Times New Roman"/>
                <w:b w:val="0"/>
                <w:sz w:val="20"/>
                <w:rtl/>
              </w:rPr>
              <w:t>‏30‏ דק׳</w:t>
            </w:r>
          </w:p>
        </w:tc>
      </w:tr>
    </w:tbl>
    <w:p>
      <w:pPr>
        <w:bidi/>
        <w:jc w:val="start"/>
      </w:pPr>
    </w:p>
    <w:p>
      <w:pPr>
        <w:pStyle w:val="Heading1"/>
        <w:pBdr>
          <w:bottom w:val="single" w:sz="18" w:space="4" w:color="E06D00"/>
        </w:pBdr>
        <w:bidi/>
        <w:jc w:val="start"/>
      </w:pPr>
      <w:r>
        <w:rPr>
          <w:rtl/>
        </w:rPr>
        <w:t>לפני ההגשה</w:t>
      </w:r>
    </w:p>
    <w:p>
      <w:pPr>
        <w:bidi/>
        <w:jc w:val="start"/>
      </w:pPr>
      <w:r>
        <w:rPr>
          <w:rFonts w:ascii="Times New Roman" w:hAnsi="Times New Roman" w:cs="Times New Roman"/>
          <w:b w:val="0"/>
          <w:sz w:val="22"/>
          <w:rtl/>
        </w:rPr>
        <w:t>רשימת בדיקה קצרה להשלמת העבודה לרמה המוכנה להגשה:</w:t>
      </w:r>
    </w:p>
    <w:p>
      <w:pPr>
        <w:bidi/>
        <w:jc w:val="start"/>
      </w:pPr>
      <w:r>
        <w:rPr>
          <w:rFonts w:ascii="Times New Roman" w:hAnsi="Times New Roman" w:cs="Times New Roman"/>
          <w:b w:val="0"/>
          <w:sz w:val="22"/>
          <w:rtl/>
        </w:rPr>
        <w:t>‏1.‏ בדקו כל ציטוט בגוף הטקסט ואשרו שהמקור תומך בטענה שלצדו.</w:t>
      </w:r>
    </w:p>
    <w:p>
      <w:pPr>
        <w:bidi/>
        <w:jc w:val="start"/>
      </w:pPr>
      <w:r>
        <w:rPr>
          <w:rFonts w:ascii="Times New Roman" w:hAnsi="Times New Roman" w:cs="Times New Roman"/>
          <w:b w:val="0"/>
          <w:sz w:val="22"/>
          <w:rtl/>
        </w:rPr>
        <w:t>‏2.‏ טפלו בפריטים בעלי העדיפות הגבוהה יותר בסקירת האיכות שלעיל.</w:t>
      </w:r>
    </w:p>
    <w:p>
      <w:pPr>
        <w:bidi/>
        <w:jc w:val="start"/>
      </w:pPr>
      <w:r>
        <w:rPr>
          <w:rFonts w:ascii="Times New Roman" w:hAnsi="Times New Roman" w:cs="Times New Roman"/>
          <w:b w:val="0"/>
          <w:sz w:val="22"/>
          <w:rtl/>
        </w:rPr>
        <w:t>‏3.‏ החליפו או חזקו כל מקור שסומן לבדיקה בביקורת.</w:t>
      </w:r>
    </w:p>
    <w:p>
      <w:pPr>
        <w:bidi/>
        <w:jc w:val="start"/>
      </w:pPr>
      <w:r>
        <w:rPr>
          <w:rFonts w:ascii="Times New Roman" w:hAnsi="Times New Roman" w:cs="Times New Roman"/>
          <w:b w:val="0"/>
          <w:sz w:val="22"/>
          <w:rtl/>
        </w:rPr>
        <w:t>‏4.‏ קראו בעצמכם את המקורות הרלוונטיים ביותר כדי שתוכלו להגן על הטיעון.</w:t>
      </w:r>
    </w:p>
    <w:p>
      <w:pPr>
        <w:bidi/>
        <w:jc w:val="start"/>
      </w:pPr>
    </w:p>
    <w:p>
      <w:pPr>
        <w:bidi/>
        <w:jc w:val="start"/>
      </w:pPr>
      <w:r>
        <w:rPr>
          <w:rFonts w:ascii="Times New Roman" w:hAnsi="Times New Roman" w:cs="Times New Roman"/>
          <w:b w:val="0"/>
          <w:color w:val="6B7280"/>
          <w:sz w:val="20"/>
          <w:rtl/>
        </w:rPr>
        <w:t>‏TEXIO‏ מאמתת שהמקורות קיימים ומדווחת מה הצלחנו להעריך. האחריות הסופית לדיוק הציטוטים וליושרה האקדמית היא שלך — נא לבדוק את העבודה לפני הגשתה.</w:t>
      </w:r>
    </w:p>
    <w:p>
      <w:pPr>
        <w:bidi/>
        <w:jc w:val="start"/>
      </w:pPr>
    </w:p>
    <w:p>
      <w:pPr>
        <w:pStyle w:val="Heading1"/>
        <w:pBdr>
          <w:bottom w:val="single" w:sz="18" w:space="4" w:color="E06D00"/>
        </w:pBdr>
        <w:bidi/>
        <w:jc w:val="start"/>
      </w:pPr>
      <w:r>
        <w:rPr>
          <w:rtl/>
        </w:rPr>
        <w:t>מאגר המקורות — כל מקור שסקרנו</w:t>
      </w:r>
    </w:p>
    <w:p>
      <w:pPr>
        <w:bidi/>
        <w:jc w:val="start"/>
      </w:pPr>
      <w:r>
        <w:rPr>
          <w:rFonts w:ascii="Times New Roman" w:hAnsi="Times New Roman" w:cs="Times New Roman"/>
          <w:b w:val="0"/>
          <w:color w:val="6B7280"/>
          <w:sz w:val="20"/>
          <w:rtl/>
        </w:rPr>
        <w:t>שקיפות מלאה לגבי החיפוש שבבסיס עבודתך: כל מקור שאיתרנו, מקובץ לפי מה שאירע לו. השתמשו בכך כדי להחליט אם להוסיף, להחליף או להעמיק בקריאה — המקורות הרלוונטיים שלא נעשה בהם שימוש הם רשימה מקוצרת מוכנה.</w:t>
      </w:r>
    </w:p>
    <w:p>
      <w:pPr>
        <w:bidi/>
        <w:jc w:val="start"/>
      </w:pPr>
      <w:r>
        <w:rPr>
          <w:rFonts w:ascii="Times New Roman" w:hAnsi="Times New Roman" w:cs="Times New Roman"/>
          <w:b/>
          <w:sz w:val="22"/>
          <w:rtl/>
        </w:rPr>
        <w:t>נכללו בעבודתך</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4176"/>
            <w:shd w:val="clear" w:color="auto" w:fill="FF7A00"/>
          </w:tcPr>
          <w:p>
            <w:pPr>
              <w:bidi/>
              <w:jc w:val="start"/>
            </w:pPr>
            <w:r>
              <w:rPr>
                <w:rtl/>
              </w:rPr>
            </w:r>
            <w:r>
              <w:rPr>
                <w:b/>
                <w:color w:val="FFFFFF"/>
                <w:sz w:val="18"/>
                <w:rtl/>
              </w:rPr>
              <w:t>מקור</w:t>
            </w:r>
          </w:p>
        </w:tc>
        <w:tc>
          <w:tcPr>
            <w:tcW w:type="dxa" w:w="2016"/>
            <w:shd w:val="clear" w:color="auto" w:fill="FF7A00"/>
          </w:tcPr>
          <w:p>
            <w:pPr>
              <w:bidi w:val="0"/>
              <w:jc w:val="start"/>
            </w:pPr>
            <w:r/>
            <w:r>
              <w:rPr>
                <w:b/>
                <w:color w:val="FFFFFF"/>
                <w:sz w:val="18"/>
              </w:rPr>
              <w:t>DOI</w:t>
            </w:r>
          </w:p>
        </w:tc>
        <w:tc>
          <w:tcPr>
            <w:tcW w:type="dxa" w:w="1728"/>
            <w:shd w:val="clear" w:color="auto" w:fill="FF7A00"/>
          </w:tcPr>
          <w:p>
            <w:pPr>
              <w:bidi/>
              <w:jc w:val="start"/>
            </w:pPr>
            <w:r>
              <w:rPr>
                <w:rtl/>
              </w:rPr>
            </w:r>
            <w:r>
              <w:rPr>
                <w:b/>
                <w:color w:val="FFFFFF"/>
                <w:sz w:val="18"/>
                <w:rtl/>
              </w:rPr>
              <w:t>אותר באמצעות</w:t>
            </w:r>
          </w:p>
        </w:tc>
        <w:tc>
          <w:tcPr>
            <w:tcW w:type="dxa" w:w="2592"/>
            <w:shd w:val="clear" w:color="auto" w:fill="FF7A00"/>
          </w:tcPr>
          <w:p>
            <w:pPr>
              <w:bidi/>
              <w:jc w:val="start"/>
            </w:pPr>
            <w:r>
              <w:rPr>
                <w:rtl/>
              </w:rPr>
            </w:r>
            <w:r>
              <w:rPr>
                <w:b/>
                <w:color w:val="FFFFFF"/>
                <w:sz w:val="18"/>
                <w:rtl/>
              </w:rPr>
              <w:t>סיבה</w:t>
            </w:r>
          </w:p>
        </w:tc>
      </w:tr>
      <w:tr>
        <w:trPr>
          <w:cantSplit/>
        </w:trPr>
        <w:tc>
          <w:tcPr>
            <w:tcW w:type="dxa" w:w="4176"/>
          </w:tcPr>
          <w:p>
            <w:pPr>
              <w:bidi w:val="0"/>
              <w:jc w:val="start"/>
            </w:pPr>
            <w:r/>
            <w:r>
              <w:rPr>
                <w:sz w:val="18"/>
              </w:rPr>
              <w:t>Replication in Second Language Research: Narrative and Systematic Reviews and Recommendations for the Field — Emma Marsden et al. — (2018)</w:t>
            </w:r>
          </w:p>
        </w:tc>
        <w:tc>
          <w:tcPr>
            <w:tcW w:type="dxa" w:w="2016"/>
          </w:tcPr>
          <w:p>
            <w:pPr>
              <w:bidi w:val="0"/>
              <w:jc w:val="start"/>
            </w:pPr>
            <w:r/>
            <w:r>
              <w:rPr>
                <w:sz w:val="18"/>
              </w:rPr>
              <w:t>10.1111/lang.12286</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Convention on the Protection and Promotion of the Diversity of Cultural Expressions — Michle Rioux et al. — (2006)</w:t>
            </w:r>
          </w:p>
        </w:tc>
        <w:tc>
          <w:tcPr>
            <w:tcW w:type="dxa" w:w="2016"/>
            <w:shd w:val="clear" w:color="auto" w:fill="FFF5EB"/>
          </w:tcPr>
          <w:p>
            <w:pPr>
              <w:bidi w:val="0"/>
              <w:jc w:val="start"/>
            </w:pPr>
            <w:r/>
            <w:r>
              <w:rPr>
                <w:sz w:val="18"/>
              </w:rPr>
              <w:t>10.1017/s0940739106060218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 multi-disciplinary perspective on emergent and future innovations in peer review — Jonathan Tennant et al. — (2017)</w:t>
            </w:r>
          </w:p>
        </w:tc>
        <w:tc>
          <w:tcPr>
            <w:tcW w:type="dxa" w:w="2016"/>
          </w:tcPr>
          <w:p>
            <w:pPr>
              <w:bidi w:val="0"/>
              <w:jc w:val="start"/>
            </w:pPr>
            <w:r/>
            <w:r>
              <w:rPr>
                <w:sz w:val="18"/>
              </w:rPr>
              <w:t>10.12688/f1000research.12037.3</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AI governance: themes, knowledge gaps and future agendas — Teemu Birkstedt et al. — (2023)</w:t>
            </w:r>
          </w:p>
        </w:tc>
        <w:tc>
          <w:tcPr>
            <w:tcW w:type="dxa" w:w="2016"/>
            <w:shd w:val="clear" w:color="auto" w:fill="FFF5EB"/>
          </w:tcPr>
          <w:p>
            <w:pPr>
              <w:bidi w:val="0"/>
              <w:jc w:val="start"/>
            </w:pPr>
            <w:r/>
            <w:r>
              <w:rPr>
                <w:sz w:val="18"/>
              </w:rPr>
              <w:t>10.1108/intr-01-2022-0042</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AI Art: Machine Visions and Warped Dreams — Joanna Żylińska — (2020)</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AI and ethics: Investigating the first policy responses of higher education institutions to the challenge of generative AI — Attila Dabis et al. — (2024)</w:t>
            </w:r>
          </w:p>
        </w:tc>
        <w:tc>
          <w:tcPr>
            <w:tcW w:type="dxa" w:w="2016"/>
            <w:shd w:val="clear" w:color="auto" w:fill="FFF5EB"/>
          </w:tcPr>
          <w:p>
            <w:pPr>
              <w:bidi w:val="0"/>
              <w:jc w:val="start"/>
            </w:pPr>
            <w:r/>
            <w:r>
              <w:rPr>
                <w:sz w:val="18"/>
              </w:rPr>
              <w:t>10.1057/s41599-024-03526-z</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Fanfiction and the Author — Judith Fathallah — (2017)</w:t>
            </w:r>
          </w:p>
        </w:tc>
        <w:tc>
          <w:tcPr>
            <w:tcW w:type="dxa" w:w="2016"/>
          </w:tcPr>
          <w:p>
            <w:pPr>
              <w:bidi w:val="0"/>
              <w:jc w:val="start"/>
            </w:pPr>
            <w:r/>
            <w:r>
              <w:rPr>
                <w:sz w:val="18"/>
              </w:rPr>
              <w:t>10.1515/9789048529087</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Creativity and Its Discontents — Laikwan Pang — (2012)</w:t>
            </w:r>
          </w:p>
        </w:tc>
        <w:tc>
          <w:tcPr>
            <w:tcW w:type="dxa" w:w="2016"/>
            <w:shd w:val="clear" w:color="auto" w:fill="FFF5EB"/>
          </w:tcPr>
          <w:p>
            <w:pPr>
              <w:bidi w:val="0"/>
              <w:jc w:val="start"/>
            </w:pPr>
            <w:r/>
            <w:r>
              <w:rPr>
                <w:sz w:val="18"/>
              </w:rPr>
              <w:t>10.1215/9780822394587</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ChatGPT in higher education - a synthesis of the literature and a future research agenda — Pritpal Singh Bhullar et al. — (2024)</w:t>
            </w:r>
          </w:p>
        </w:tc>
        <w:tc>
          <w:tcPr>
            <w:tcW w:type="dxa" w:w="2016"/>
          </w:tcPr>
          <w:p>
            <w:pPr>
              <w:bidi w:val="0"/>
              <w:jc w:val="start"/>
            </w:pPr>
            <w:r/>
            <w:r>
              <w:rPr>
                <w:sz w:val="18"/>
              </w:rPr>
              <w:t>10.1007/s10639-024-12723-x</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Originality in UK Copyright Law: The Old “Skill and Labour” Doctrine Under Pressure — Andreas Rahmatian — (2013)</w:t>
            </w:r>
          </w:p>
        </w:tc>
        <w:tc>
          <w:tcPr>
            <w:tcW w:type="dxa" w:w="2016"/>
            <w:shd w:val="clear" w:color="auto" w:fill="FFF5EB"/>
          </w:tcPr>
          <w:p>
            <w:pPr>
              <w:bidi w:val="0"/>
              <w:jc w:val="start"/>
            </w:pPr>
            <w:r/>
            <w:r>
              <w:rPr>
                <w:sz w:val="18"/>
              </w:rPr>
              <w:t>10.1007/s40319-012-0003-4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The effect of author set size and data size in authorship attribution — Luyckx et al. — (2010)</w:t>
            </w:r>
          </w:p>
        </w:tc>
        <w:tc>
          <w:tcPr>
            <w:tcW w:type="dxa" w:w="2016"/>
          </w:tcPr>
          <w:p>
            <w:pPr>
              <w:bidi w:val="0"/>
              <w:jc w:val="start"/>
            </w:pPr>
            <w:r/>
            <w:r>
              <w:rPr>
                <w:sz w:val="18"/>
              </w:rPr>
              <w:t>10.1093/llc/fqq013</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Text and Genre in Reconstruction: Effects of Digitalization on Ideas, Behaviours, Products and Institutions — Willard McCarty — (2010)</w:t>
            </w:r>
          </w:p>
        </w:tc>
        <w:tc>
          <w:tcPr>
            <w:tcW w:type="dxa" w:w="2016"/>
            <w:shd w:val="clear" w:color="auto" w:fill="FFF5EB"/>
          </w:tcPr>
          <w:p>
            <w:pPr>
              <w:bidi w:val="0"/>
              <w:jc w:val="start"/>
            </w:pPr>
            <w:r/>
            <w:r>
              <w:rPr>
                <w:sz w:val="18"/>
              </w:rPr>
              <w:t>10.11647/obp.0008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Altmetrics and societal impact measurements: Match or mismatch? A literature review — Iman Tahamtan et al. — (2020)</w:t>
            </w:r>
          </w:p>
        </w:tc>
        <w:tc>
          <w:tcPr>
            <w:tcW w:type="dxa" w:w="2016"/>
          </w:tcPr>
          <w:p>
            <w:pPr>
              <w:bidi w:val="0"/>
              <w:jc w:val="start"/>
            </w:pPr>
            <w:r/>
            <w:r>
              <w:rPr>
                <w:sz w:val="18"/>
              </w:rPr>
              <w:t>10.3145/epi.2020.ene.02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Anthropomorphism and consumer behaviour: A&lt;scp&gt;SPAR‐4‐SLR&lt;/scp&gt;protocol compliant hybrid review — Fateh Mohd Khan et al. — (2023)</w:t>
            </w:r>
          </w:p>
        </w:tc>
        <w:tc>
          <w:tcPr>
            <w:tcW w:type="dxa" w:w="2016"/>
            <w:shd w:val="clear" w:color="auto" w:fill="FFF5EB"/>
          </w:tcPr>
          <w:p>
            <w:pPr>
              <w:bidi w:val="0"/>
              <w:jc w:val="start"/>
            </w:pPr>
            <w:r/>
            <w:r>
              <w:rPr>
                <w:sz w:val="18"/>
              </w:rPr>
              <w:t>10.1111/ijcs.12985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Creative partnerships with generative AI. Possibilities for education and beyond — Edwin Creely et al. — (2024)</w:t>
            </w:r>
          </w:p>
        </w:tc>
        <w:tc>
          <w:tcPr>
            <w:tcW w:type="dxa" w:w="2016"/>
          </w:tcPr>
          <w:p>
            <w:pPr>
              <w:bidi w:val="0"/>
              <w:jc w:val="start"/>
            </w:pPr>
            <w:r/>
            <w:r>
              <w:rPr>
                <w:sz w:val="18"/>
              </w:rPr>
              <w:t>10.1016/j.tsc.2024.101727</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Genre and interpretation — Auken — (2013)</w:t>
            </w:r>
          </w:p>
        </w:tc>
        <w:tc>
          <w:tcPr>
            <w:tcW w:type="dxa" w:w="2016"/>
            <w:shd w:val="clear" w:color="auto" w:fill="FFF5EB"/>
          </w:tcPr>
          <w:p>
            <w:pPr>
              <w:bidi w:val="0"/>
              <w:jc w:val="start"/>
            </w:pPr>
            <w:r/>
            <w:r>
              <w:rPr>
                <w:sz w:val="18"/>
              </w:rPr>
              <w:t>10.4324/9780203962619-11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Originality, imitation, and plagiarism: teaching writing in the digital age — Eisner et al. — (2008)</w:t>
            </w:r>
          </w:p>
        </w:tc>
        <w:tc>
          <w:tcPr>
            <w:tcW w:type="dxa" w:w="2016"/>
          </w:tcPr>
          <w:p>
            <w:pPr>
              <w:bidi w:val="0"/>
              <w:jc w:val="start"/>
            </w:pPr>
            <w:r/>
            <w:r>
              <w:rPr>
                <w:sz w:val="18"/>
              </w:rPr>
              <w:t>10.5860/choice.46-0114</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Sign Here! : Handwriting in the Age of New Media — van Dijck et al. — (2006)</w:t>
            </w:r>
          </w:p>
        </w:tc>
        <w:tc>
          <w:tcPr>
            <w:tcW w:type="dxa" w:w="2016"/>
            <w:shd w:val="clear" w:color="auto" w:fill="FFF5EB"/>
          </w:tcPr>
          <w:p>
            <w:pPr>
              <w:bidi w:val="0"/>
              <w:jc w:val="start"/>
            </w:pPr>
            <w:r/>
            <w:r>
              <w:rPr>
                <w:sz w:val="18"/>
              </w:rPr>
              <w:t>10.5117/9789053568163</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Machine Learning Methods for Stylometry — Savoy — (2020)</w:t>
            </w:r>
          </w:p>
        </w:tc>
        <w:tc>
          <w:tcPr>
            <w:tcW w:type="dxa" w:w="2016"/>
          </w:tcPr>
          <w:p>
            <w:pPr>
              <w:bidi w:val="0"/>
              <w:jc w:val="start"/>
            </w:pPr>
            <w:r/>
            <w:r>
              <w:rPr>
                <w:sz w:val="18"/>
              </w:rPr>
              <w:t>10.1007/978-3-030-53360-1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That Wonderful Composite Called Author — (:unkn) unknown — (2014)</w:t>
            </w:r>
          </w:p>
        </w:tc>
        <w:tc>
          <w:tcPr>
            <w:tcW w:type="dxa" w:w="2016"/>
            <w:shd w:val="clear" w:color="auto" w:fill="FFF5EB"/>
          </w:tcPr>
          <w:p>
            <w:pPr>
              <w:bidi w:val="0"/>
              <w:jc w:val="start"/>
            </w:pPr>
            <w:r/>
            <w:r>
              <w:rPr>
                <w:sz w:val="18"/>
              </w:rPr>
              <w:t>10.1163/9789004279421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‘Nothing is the same as something else’: significant properties and notions of identity and originality — Geoffrey Yeo — (2010)</w:t>
            </w:r>
          </w:p>
        </w:tc>
        <w:tc>
          <w:tcPr>
            <w:tcW w:type="dxa" w:w="2016"/>
          </w:tcPr>
          <w:p>
            <w:pPr>
              <w:bidi w:val="0"/>
              <w:jc w:val="start"/>
            </w:pPr>
            <w:r/>
            <w:r>
              <w:rPr>
                <w:sz w:val="18"/>
              </w:rPr>
              <w:t>10.1007/s10502-010-9119-9</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Originality and the future of copyright in an age of generative AI — Fenwick et al. — (2023)</w:t>
            </w:r>
          </w:p>
        </w:tc>
        <w:tc>
          <w:tcPr>
            <w:tcW w:type="dxa" w:w="2016"/>
            <w:shd w:val="clear" w:color="auto" w:fill="FFF5EB"/>
          </w:tcPr>
          <w:p>
            <w:pPr>
              <w:bidi w:val="0"/>
              <w:jc w:val="start"/>
            </w:pPr>
            <w:r/>
            <w:r>
              <w:rPr>
                <w:sz w:val="18"/>
              </w:rPr>
              <w:t>10.1016/j.clsr.2023.105892</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When Copyright Law and Science Collide: Empowering Digitally Integrated Research Methods on a Global Scale — Jerome H. Reichman et al. — (2012)</w:t>
            </w:r>
          </w:p>
        </w:tc>
        <w:tc>
          <w:tcPr>
            <w:tcW w:type="dxa" w:w="2016"/>
          </w:tcPr>
          <w:p>
            <w:pPr>
              <w:bidi w:val="0"/>
              <w:jc w:val="start"/>
            </w:pPr>
            <w:r/>
            <w:r>
              <w:rPr>
                <w:sz w:val="18"/>
              </w:rPr>
              <w:t>10.24926/265535.1308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 multi-disciplinary perspective on emergent and future innovations in peer review — Jonathan Tennant et al. — (2017)</w:t>
            </w:r>
          </w:p>
        </w:tc>
        <w:tc>
          <w:tcPr>
            <w:tcW w:type="dxa" w:w="2016"/>
            <w:shd w:val="clear" w:color="auto" w:fill="FFF5EB"/>
          </w:tcPr>
          <w:p>
            <w:pPr>
              <w:bidi w:val="0"/>
              <w:jc w:val="start"/>
            </w:pPr>
            <w:r/>
            <w:r>
              <w:rPr>
                <w:sz w:val="18"/>
              </w:rPr>
              <w:t>10.12688/f1000research.12037.2</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Evaluating Human-AI Collaboration: A Review and Methodological Framework — George Fragiadakis et al. — (2024)</w:t>
            </w:r>
          </w:p>
        </w:tc>
        <w:tc>
          <w:tcPr>
            <w:tcW w:type="dxa" w:w="2016"/>
          </w:tcPr>
          <w:p>
            <w:pPr>
              <w:bidi w:val="0"/>
              <w:jc w:val="start"/>
            </w:pPr>
            <w:r/>
            <w:r>
              <w:rPr>
                <w:sz w:val="18"/>
              </w:rPr>
              <w:t>10.48550/arxiv.2407.19098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Employee well-being human resource practices: a systematic literature review and directions for future research — Monika Bhoir et al. — (2024)</w:t>
            </w:r>
          </w:p>
        </w:tc>
        <w:tc>
          <w:tcPr>
            <w:tcW w:type="dxa" w:w="2016"/>
            <w:shd w:val="clear" w:color="auto" w:fill="FFF5EB"/>
          </w:tcPr>
          <w:p>
            <w:pPr>
              <w:bidi w:val="0"/>
              <w:jc w:val="start"/>
            </w:pPr>
            <w:r/>
            <w:r>
              <w:rPr>
                <w:sz w:val="18"/>
              </w:rPr>
              <w:t>10.1186/s43093-024-00382-w</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Academic Entrepreneurship Ecosystems: Systematic Literature Review and Future Research Directions — Maria Patrocínia Correia et al. — (2024)</w:t>
            </w:r>
          </w:p>
        </w:tc>
        <w:tc>
          <w:tcPr>
            <w:tcW w:type="dxa" w:w="2016"/>
          </w:tcPr>
          <w:p>
            <w:pPr>
              <w:bidi w:val="0"/>
              <w:jc w:val="start"/>
            </w:pPr>
            <w:r/>
            <w:r>
              <w:rPr>
                <w:sz w:val="18"/>
              </w:rPr>
              <w:t>10.1007/s13132-024-01819-x</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Unleashing the power of AI: a systematic review of cutting-edge techniques in AI-enhanced scientometrics, webometrics and bibliometrics — Hamid Reza Saeidnia et al. — (2024)</w:t>
            </w:r>
          </w:p>
        </w:tc>
        <w:tc>
          <w:tcPr>
            <w:tcW w:type="dxa" w:w="2016"/>
            <w:shd w:val="clear" w:color="auto" w:fill="FFF5EB"/>
          </w:tcPr>
          <w:p>
            <w:pPr>
              <w:bidi w:val="0"/>
              <w:jc w:val="start"/>
            </w:pPr>
            <w:r/>
            <w:r>
              <w:rPr>
                <w:sz w:val="18"/>
              </w:rPr>
              <w:t>10.1108/lht-10-2023-0514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Installation Art and the Museum: Presentation and Conservation of Changing Artworks — V.E.J.P. van Saaze — (2013)</w:t>
            </w:r>
          </w:p>
        </w:tc>
        <w:tc>
          <w:tcPr>
            <w:tcW w:type="dxa" w:w="2016"/>
          </w:tcPr>
          <w:p>
            <w:pPr>
              <w:bidi w:val="0"/>
              <w:jc w:val="start"/>
            </w:pPr>
            <w:r/>
            <w:r>
              <w:rPr>
                <w:sz w:val="18"/>
              </w:rPr>
              <w:t>10.26530/oapen_449202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Living Books — Janneke Adema — (2021)</w:t>
            </w:r>
          </w:p>
        </w:tc>
        <w:tc>
          <w:tcPr>
            <w:tcW w:type="dxa" w:w="2016"/>
            <w:shd w:val="clear" w:color="auto" w:fill="FFF5EB"/>
          </w:tcPr>
          <w:p>
            <w:pPr>
              <w:bidi w:val="0"/>
              <w:jc w:val="start"/>
            </w:pPr>
            <w:r/>
            <w:r>
              <w:rPr>
                <w:sz w:val="18"/>
              </w:rPr>
              <w:t>10.7551/mitpress/11297.001.0001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 bibliometric review of research on entrepreneurial capacity for the period 1979 to 2022: Current status, development, and future research directions — Meghna Chhabra et al. — (2023)</w:t>
            </w:r>
          </w:p>
        </w:tc>
        <w:tc>
          <w:tcPr>
            <w:tcW w:type="dxa" w:w="2016"/>
          </w:tcPr>
          <w:p>
            <w:pPr>
              <w:bidi w:val="0"/>
              <w:jc w:val="start"/>
            </w:pPr>
            <w:r/>
            <w:r>
              <w:rPr>
                <w:sz w:val="18"/>
              </w:rPr>
              <w:t>10.1080/23311975.2023.2178338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Tactical Entanglements: AI Art, Creative Agency, and the Limits of Intellectual Property — Martin Zeilinger — (2021)</w:t>
            </w:r>
          </w:p>
        </w:tc>
        <w:tc>
          <w:tcPr>
            <w:tcW w:type="dxa" w:w="2016"/>
            <w:shd w:val="clear" w:color="auto" w:fill="FFF5EB"/>
          </w:tcPr>
          <w:p>
            <w:pPr>
              <w:bidi w:val="0"/>
              <w:jc w:val="start"/>
            </w:pPr>
            <w:r/>
            <w:r>
              <w:rPr>
                <w:sz w:val="18"/>
              </w:rPr>
              <w:t>10.14619/1839</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Authorship as cultural performance: new perspectives in authorship studies — Ingo Berensmeyer et al. — (2012)</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The Transition Experience to Boarding School for Male Aboriginal Secondary School Students from Regional and Remote Communities across Western Australia. — David Mander — (2012)</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The Birth of the Authornym: Authorship, Pseudonymity, and Trademark Law — Laura A. Heymann — (2004)</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Rethinking data infrastructure and its ethical implications in the face of automated digital content generation — Maria Joseph Israel et al. — (2022)</w:t>
            </w:r>
          </w:p>
        </w:tc>
        <w:tc>
          <w:tcPr>
            <w:tcW w:type="dxa" w:w="2016"/>
            <w:shd w:val="clear" w:color="auto" w:fill="FFF5EB"/>
          </w:tcPr>
          <w:p>
            <w:pPr>
              <w:bidi w:val="0"/>
              <w:jc w:val="start"/>
            </w:pPr>
            <w:r/>
            <w:r>
              <w:rPr>
                <w:sz w:val="18"/>
              </w:rPr>
              <w:t>10.1007/s43681-022-00169-1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Review of European and Comparative Law — (2025)</w:t>
            </w:r>
          </w:p>
        </w:tc>
        <w:tc>
          <w:tcPr>
            <w:tcW w:type="dxa" w:w="2016"/>
          </w:tcPr>
          <w:p>
            <w:pPr>
              <w:bidi w:val="0"/>
              <w:jc w:val="start"/>
            </w:pPr>
            <w:r/>
            <w:r>
              <w:rPr>
                <w:sz w:val="18"/>
              </w:rPr>
              <w:t>10.31743/recl</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Writing at a Distance: Notes on Authorship and Artificial Intelligence — Hannes Bajohr — (2024)</w:t>
            </w:r>
          </w:p>
        </w:tc>
        <w:tc>
          <w:tcPr>
            <w:tcW w:type="dxa" w:w="2016"/>
            <w:shd w:val="clear" w:color="auto" w:fill="FFF5EB"/>
          </w:tcPr>
          <w:p>
            <w:pPr>
              <w:bidi w:val="0"/>
              <w:jc w:val="start"/>
            </w:pPr>
            <w:r/>
            <w:r>
              <w:rPr>
                <w:sz w:val="18"/>
              </w:rPr>
              <w:t>10.1353/gsr.2024.a927862</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Concepts of Authorship in Pre-Modern Arabic Texts — Lale Behzadi et al. — (2015)</w:t>
            </w:r>
          </w:p>
        </w:tc>
        <w:tc>
          <w:tcPr>
            <w:tcW w:type="dxa" w:w="2016"/>
          </w:tcPr>
          <w:p>
            <w:pPr>
              <w:bidi w:val="0"/>
              <w:jc w:val="start"/>
            </w:pPr>
            <w:r/>
            <w:r>
              <w:rPr>
                <w:sz w:val="18"/>
              </w:rPr>
              <w:t>10.20378/irb-40118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Adrift in the Intertext: Authorship and Audience Recoding Rights - Comment on Robert H. Rotstein, Beyond Metaphor: Copyright Infringement and the Fiction of the Work — Keith Aoki — (1993)</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Double-Edged Imitation : Theories and Practices of Pastiche in Literature — Sanna Nyqvist — (2010)</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Emmanuel C. Bourbouhakis The End of ἐπίδειξις. Authorial Identity and Authorial Intention in Michael Chōniatēs’ Πρὸς τοὺς αἰτιωμένους τὸ ἀφιλένδεικτον — Bourbouhakis — (2014)</w:t>
            </w:r>
          </w:p>
        </w:tc>
        <w:tc>
          <w:tcPr>
            <w:tcW w:type="dxa" w:w="2016"/>
            <w:shd w:val="clear" w:color="auto" w:fill="FFF5EB"/>
          </w:tcPr>
          <w:p>
            <w:pPr>
              <w:bidi w:val="0"/>
              <w:jc w:val="start"/>
            </w:pPr>
            <w:r/>
            <w:r>
              <w:rPr>
                <w:sz w:val="18"/>
              </w:rPr>
              <w:t>10.1515/9781614515197.201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Authorship and Text-making in Early China — Hanmo Zhang — (2018)</w:t>
            </w:r>
          </w:p>
        </w:tc>
        <w:tc>
          <w:tcPr>
            <w:tcW w:type="dxa" w:w="2016"/>
          </w:tcPr>
          <w:p>
            <w:pPr>
              <w:bidi w:val="0"/>
              <w:jc w:val="start"/>
            </w:pPr>
            <w:r/>
            <w:r>
              <w:rPr>
                <w:sz w:val="18"/>
              </w:rPr>
              <w:t>10.1515/9781501505133</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Authorship and Publishing in the Humanities — Marcel Knöchelmann — (2023)</w:t>
            </w:r>
          </w:p>
        </w:tc>
        <w:tc>
          <w:tcPr>
            <w:tcW w:type="dxa" w:w="2016"/>
            <w:shd w:val="clear" w:color="auto" w:fill="FFF5EB"/>
          </w:tcPr>
          <w:p>
            <w:pPr>
              <w:bidi w:val="0"/>
              <w:jc w:val="start"/>
            </w:pPr>
            <w:r/>
            <w:r>
              <w:rPr>
                <w:sz w:val="18"/>
              </w:rPr>
              <w:t>10.1017/9781009223089</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Towards a new sociology of the text: the hermeneutics of algorithmic authorship — Leah Henrickson — (2021)</w:t>
            </w:r>
          </w:p>
        </w:tc>
        <w:tc>
          <w:tcPr>
            <w:tcW w:type="dxa" w:w="2016"/>
          </w:tcPr>
          <w:p>
            <w:pPr>
              <w:bidi w:val="0"/>
              <w:jc w:val="start"/>
            </w:pPr>
            <w:r/>
            <w:r>
              <w:rPr>
                <w:sz w:val="18"/>
              </w:rPr>
              <w:t>10.26174/thesis.lboro.10596404.v1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AI-Assisted Tools for Scientific Review Writing: Opportunities and Cautions — Josué Jorge Gonçalves da Silva et al. — (2025)</w:t>
            </w:r>
          </w:p>
        </w:tc>
        <w:tc>
          <w:tcPr>
            <w:tcW w:type="dxa" w:w="2016"/>
            <w:shd w:val="clear" w:color="auto" w:fill="FFF5EB"/>
          </w:tcPr>
          <w:p>
            <w:pPr>
              <w:bidi w:val="0"/>
              <w:jc w:val="start"/>
            </w:pPr>
            <w:r/>
            <w:r>
              <w:rPr>
                <w:sz w:val="18"/>
              </w:rPr>
              <w:t>10.1021/acsami.5c08837</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From aura to semi-aura: reframing authenticity in AI-generated art—a systematic literature review — David Salas Espasa et al. — (2025)</w:t>
            </w:r>
          </w:p>
        </w:tc>
        <w:tc>
          <w:tcPr>
            <w:tcW w:type="dxa" w:w="2016"/>
          </w:tcPr>
          <w:p>
            <w:pPr>
              <w:bidi w:val="0"/>
              <w:jc w:val="start"/>
            </w:pPr>
            <w:r/>
            <w:r>
              <w:rPr>
                <w:sz w:val="18"/>
              </w:rPr>
              <w:t>10.1007/s00146-025-02361-3</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Proceedings of the 4th World Conference on Research Integrity — Susan Patricia O’Brien et al. — (2016)</w:t>
            </w:r>
          </w:p>
        </w:tc>
        <w:tc>
          <w:tcPr>
            <w:tcW w:type="dxa" w:w="2016"/>
            <w:shd w:val="clear" w:color="auto" w:fill="FFF5EB"/>
          </w:tcPr>
          <w:p>
            <w:pPr>
              <w:bidi w:val="0"/>
              <w:jc w:val="start"/>
            </w:pPr>
            <w:r/>
            <w:r>
              <w:rPr>
                <w:sz w:val="18"/>
              </w:rPr>
              <w:t>10.1186/s41073-016-0012-9</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The Value of New Scientific Communication Models for Chemistry — Theresa Velden et al. — (2009)</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Preserving Authorial Voice in Academic Texts in the Age of Generative AI: A Thematic Literature Review — Al Hosni — (2025)</w:t>
            </w:r>
          </w:p>
        </w:tc>
        <w:tc>
          <w:tcPr>
            <w:tcW w:type="dxa" w:w="2016"/>
            <w:shd w:val="clear" w:color="auto" w:fill="FFF5EB"/>
          </w:tcPr>
          <w:p>
            <w:pPr>
              <w:bidi w:val="0"/>
              <w:jc w:val="start"/>
            </w:pPr>
            <w:r/>
            <w:r>
              <w:rPr>
                <w:sz w:val="18"/>
              </w:rPr>
              <w:t>10.24093/awej/vol16no3.14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Conflict Between Intellectual Property Rights and Human Rights: A Case Study on Intangible Cultural Heritage — Paolo Davide Farah et al. — (2016)</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More than the sum of the parts : shared representations in collaborative design interaction — Benjamin G. Shaw — (2007)</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 cannon's burst discharged against a ruinated wall’:  A Critique of Quantitative Methods in Shakespearean Authorial Attribution — Auerbach — (2018)</w:t>
            </w:r>
          </w:p>
        </w:tc>
        <w:tc>
          <w:tcPr>
            <w:tcW w:type="dxa" w:w="2016"/>
          </w:tcPr>
          <w:p>
            <w:pPr>
              <w:bidi w:val="0"/>
              <w:jc w:val="start"/>
            </w:pPr>
            <w:r/>
            <w:r>
              <w:rPr>
                <w:sz w:val="18"/>
              </w:rPr>
              <w:t>10.21825/aj.v7i2.9737</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Distant Writing and The Epistemology of Authorship: On Creativity, Delegation, And Plagiarism in The Age Of AI — Tiegüe Vieira Rodrigues — (2025)</w:t>
            </w:r>
          </w:p>
        </w:tc>
        <w:tc>
          <w:tcPr>
            <w:tcW w:type="dxa" w:w="2016"/>
            <w:shd w:val="clear" w:color="auto" w:fill="FFF5EB"/>
          </w:tcPr>
          <w:p>
            <w:pPr>
              <w:bidi w:val="0"/>
              <w:jc w:val="start"/>
            </w:pPr>
            <w:r/>
            <w:r>
              <w:rPr>
                <w:sz w:val="18"/>
              </w:rPr>
              <w:t>10.18535/ijsshi/v12i05.04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Exploration of the creative processes in animals, robots, and AI: who holds the authorship? — Cédric Sueur et al. — (2024)</w:t>
            </w:r>
          </w:p>
        </w:tc>
        <w:tc>
          <w:tcPr>
            <w:tcW w:type="dxa" w:w="2016"/>
          </w:tcPr>
          <w:p>
            <w:pPr>
              <w:bidi w:val="0"/>
              <w:jc w:val="start"/>
            </w:pPr>
            <w:r/>
            <w:r>
              <w:rPr>
                <w:sz w:val="18"/>
              </w:rPr>
              <w:t>10.1057/s41599-024-03125-y</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The Cambridge Handbook of Investment-Driven Intellectual Property — Enrico Bonadio et al. — (2023)</w:t>
            </w:r>
          </w:p>
        </w:tc>
        <w:tc>
          <w:tcPr>
            <w:tcW w:type="dxa" w:w="2016"/>
            <w:shd w:val="clear" w:color="auto" w:fill="FFF5EB"/>
          </w:tcPr>
          <w:p>
            <w:pPr>
              <w:bidi w:val="0"/>
              <w:jc w:val="start"/>
            </w:pPr>
            <w:r/>
            <w:r>
              <w:rPr>
                <w:sz w:val="18"/>
              </w:rPr>
              <w:t>10.1017/9781108989527</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Not a Swiss Army Knife: Academics' Perceptions of Trade-Offs Around Generative Artificial Intelligence Use — Afsaneh Razi et al. — (2025)</w:t>
            </w:r>
          </w:p>
        </w:tc>
        <w:tc>
          <w:tcPr>
            <w:tcW w:type="dxa" w:w="2016"/>
          </w:tcPr>
          <w:p>
            <w:pPr>
              <w:bidi w:val="0"/>
              <w:jc w:val="start"/>
            </w:pPr>
            <w:r/>
            <w:r>
              <w:rPr>
                <w:sz w:val="18"/>
              </w:rPr>
              <w:t>10.21203/rs.3.rs-5686084/v1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Originality and the Future of Copyright in an Age of Generative AI — Paulius Jurčys et al. — (2023)</w:t>
            </w:r>
          </w:p>
        </w:tc>
        <w:tc>
          <w:tcPr>
            <w:tcW w:type="dxa" w:w="2016"/>
            <w:shd w:val="clear" w:color="auto" w:fill="FFF5EB"/>
          </w:tcPr>
          <w:p>
            <w:pPr>
              <w:bidi w:val="0"/>
              <w:jc w:val="start"/>
            </w:pPr>
            <w:r/>
            <w:r>
              <w:rPr>
                <w:sz w:val="18"/>
              </w:rPr>
              <w:t>10.48550/arxiv.2309.13055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Rethinking authorship in a generative AI-driven academic world — Kumar — (2025)</w:t>
            </w:r>
          </w:p>
        </w:tc>
        <w:tc>
          <w:tcPr>
            <w:tcW w:type="dxa" w:w="2016"/>
          </w:tcPr>
          <w:p>
            <w:pPr>
              <w:bidi w:val="0"/>
              <w:jc w:val="start"/>
            </w:pPr>
            <w:r/>
            <w:r>
              <w:rPr>
                <w:sz w:val="18"/>
              </w:rPr>
              <w:t>10.4337/9781035337873.00011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Biblical Exegesis without Authorial Intention? — Breu — (2019)</w:t>
            </w:r>
          </w:p>
        </w:tc>
        <w:tc>
          <w:tcPr>
            <w:tcW w:type="dxa" w:w="2016"/>
            <w:shd w:val="clear" w:color="auto" w:fill="FFF5EB"/>
          </w:tcPr>
          <w:p>
            <w:pPr>
              <w:bidi w:val="0"/>
              <w:jc w:val="start"/>
            </w:pPr>
            <w:r/>
            <w:r>
              <w:rPr>
                <w:sz w:val="18"/>
              </w:rPr>
              <w:t>10.1163/9789004379558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Research Data Management — Susanne den Boer Beckers et al. — (2019)</w:t>
            </w:r>
          </w:p>
        </w:tc>
        <w:tc>
          <w:tcPr>
            <w:tcW w:type="dxa" w:w="2016"/>
          </w:tcPr>
          <w:p>
            <w:pPr>
              <w:bidi w:val="0"/>
              <w:jc w:val="start"/>
            </w:pPr>
            <w:r/>
            <w:r>
              <w:rPr>
                <w:sz w:val="18"/>
              </w:rPr>
              <w:t>10.29085/9781783303953.004</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Barry Turner: The Under-Acknowledged Safety Pioneer — Kym Bills et al. — (2023)</w:t>
            </w:r>
          </w:p>
        </w:tc>
        <w:tc>
          <w:tcPr>
            <w:tcW w:type="dxa" w:w="2016"/>
            <w:shd w:val="clear" w:color="auto" w:fill="FFF5EB"/>
          </w:tcPr>
          <w:p>
            <w:pPr>
              <w:bidi w:val="0"/>
              <w:jc w:val="start"/>
            </w:pPr>
            <w:r/>
            <w:r>
              <w:rPr>
                <w:sz w:val="18"/>
              </w:rPr>
              <w:t>10.3390/safety9040068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The Apt Curation Model: An Epistemic Virtue Theory of AI-Assisted Authorship — Tiegue Vieira Rodrigues — (2026)</w:t>
            </w:r>
          </w:p>
        </w:tc>
        <w:tc>
          <w:tcPr>
            <w:tcW w:type="dxa" w:w="2016"/>
          </w:tcPr>
          <w:p>
            <w:pPr>
              <w:bidi w:val="0"/>
              <w:jc w:val="start"/>
            </w:pPr>
            <w:r/>
            <w:r>
              <w:rPr>
                <w:sz w:val="18"/>
              </w:rPr>
              <w:t>10.1007/s13347-026-01038-z</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Challenges of protecting electronic works in the era of artificial intelligence: a legal and doctrinal perspective — Ahmad Albnian et al. — (2025)</w:t>
            </w:r>
          </w:p>
        </w:tc>
        <w:tc>
          <w:tcPr>
            <w:tcW w:type="dxa" w:w="2016"/>
            <w:shd w:val="clear" w:color="auto" w:fill="FFF5EB"/>
          </w:tcPr>
          <w:p>
            <w:pPr>
              <w:bidi w:val="0"/>
              <w:jc w:val="start"/>
            </w:pPr>
            <w:r/>
            <w:r>
              <w:rPr>
                <w:sz w:val="18"/>
              </w:rPr>
              <w:t>10.3389/fhumd.2025.1701267</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Reclaiming authorship in the age of generative AI: From panic to possibility — Askari — (2025)</w:t>
            </w:r>
          </w:p>
        </w:tc>
        <w:tc>
          <w:tcPr>
            <w:tcW w:type="dxa" w:w="2016"/>
          </w:tcPr>
          <w:p>
            <w:pPr>
              <w:bidi w:val="0"/>
              <w:jc w:val="start"/>
            </w:pPr>
            <w:r/>
            <w:r>
              <w:rPr>
                <w:sz w:val="18"/>
              </w:rPr>
              <w:t>10.1002/aaai.70022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Now About All These Women in the Swedish Film Industry — Louise Wallenberg et al. — (2023)</w:t>
            </w:r>
          </w:p>
        </w:tc>
        <w:tc>
          <w:tcPr>
            <w:tcW w:type="dxa" w:w="2016"/>
            <w:shd w:val="clear" w:color="auto" w:fill="FFF5EB"/>
          </w:tcPr>
          <w:p>
            <w:pPr>
              <w:bidi w:val="0"/>
              <w:jc w:val="start"/>
            </w:pPr>
            <w:r/>
            <w:r>
              <w:rPr>
                <w:sz w:val="18"/>
              </w:rPr>
              <w:t>10.5040/9781501366185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Copyright Treatment of Freelance Work in the Digital Era — Giuseppina D’Agostino — (2002)</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Authoring collaborative projects : a study of intellectual property and free and open source software (FOSS) licensing schemes from a relational contract perspective — Chen Zhu — (2011)</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Intention and Interpretation: A Short History — Ralf Grüttemeier — (2022)</w:t>
            </w:r>
          </w:p>
        </w:tc>
        <w:tc>
          <w:tcPr>
            <w:tcW w:type="dxa" w:w="2016"/>
          </w:tcPr>
          <w:p>
            <w:pPr>
              <w:bidi w:val="0"/>
              <w:jc w:val="start"/>
            </w:pPr>
            <w:r/>
            <w:r>
              <w:rPr>
                <w:sz w:val="18"/>
              </w:rPr>
              <w:t>10.1515/9783110767858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Tweeting the Author: Tao Lin’s Performance of Authorial Identity on Twitter — Greene — (2018)</w:t>
            </w:r>
          </w:p>
        </w:tc>
        <w:tc>
          <w:tcPr>
            <w:tcW w:type="dxa" w:w="2016"/>
            <w:shd w:val="clear" w:color="auto" w:fill="FFF5EB"/>
          </w:tcPr>
          <w:p>
            <w:pPr>
              <w:bidi w:val="0"/>
              <w:jc w:val="start"/>
            </w:pPr>
            <w:r/>
            <w:r>
              <w:rPr>
                <w:sz w:val="18"/>
              </w:rPr>
              <w:t>10.21825/aj.v7i1.8618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The Names of Minimalism: Authorship and the Historiography of Dispute in New York Minimalism, 1960–1982 — Patrick Nickleson — (2017)</w:t>
            </w:r>
          </w:p>
        </w:tc>
        <w:tc>
          <w:tcPr>
            <w:tcW w:type="dxa" w:w="2016"/>
          </w:tcPr>
          <w:p>
            <w:pPr>
              <w:bidi w:val="0"/>
              <w:jc w:val="start"/>
            </w:pPr>
            <w:r/>
            <w:r>
              <w:rPr>
                <w:sz w:val="18"/>
              </w:rPr>
              <w:t>10.3998/mpub.10207791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 – Text – Intention: A Case Study on the Letter of James — Wischmeyer — (2019)</w:t>
            </w:r>
          </w:p>
        </w:tc>
        <w:tc>
          <w:tcPr>
            <w:tcW w:type="dxa" w:w="2016"/>
            <w:shd w:val="clear" w:color="auto" w:fill="FFF5EB"/>
          </w:tcPr>
          <w:p>
            <w:pPr>
              <w:bidi w:val="0"/>
              <w:jc w:val="start"/>
            </w:pPr>
            <w:r/>
            <w:r>
              <w:rPr>
                <w:sz w:val="18"/>
              </w:rPr>
              <w:t>10.1163/9789004379558_004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#John: Author-Names in Revelation and Other New Testament Texts — Breu — (2019)</w:t>
            </w:r>
          </w:p>
        </w:tc>
        <w:tc>
          <w:tcPr>
            <w:tcW w:type="dxa" w:w="2016"/>
          </w:tcPr>
          <w:p>
            <w:pPr>
              <w:bidi w:val="0"/>
              <w:jc w:val="start"/>
            </w:pPr>
            <w:r/>
            <w:r>
              <w:rPr>
                <w:sz w:val="18"/>
              </w:rPr>
              <w:t>10.1163/9789004379558_010</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Elena Ferrante: A Case Study in Authorship Attribution — Savoy — (2020)</w:t>
            </w:r>
          </w:p>
        </w:tc>
        <w:tc>
          <w:tcPr>
            <w:tcW w:type="dxa" w:w="2016"/>
            <w:shd w:val="clear" w:color="auto" w:fill="FFF5EB"/>
          </w:tcPr>
          <w:p>
            <w:pPr>
              <w:bidi w:val="0"/>
              <w:jc w:val="start"/>
            </w:pPr>
            <w:r/>
            <w:r>
              <w:rPr>
                <w:sz w:val="18"/>
              </w:rPr>
              <w:t>10.1007/978-3-030-53360-1_8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Authorship and/as Intertext – Julia Kristeva and Paul de Man — Clar — (2019)</w:t>
            </w:r>
          </w:p>
        </w:tc>
        <w:tc>
          <w:tcPr>
            <w:tcW w:type="dxa" w:w="2016"/>
          </w:tcPr>
          <w:p>
            <w:pPr>
              <w:bidi w:val="0"/>
              <w:jc w:val="start"/>
            </w:pPr>
            <w:r/>
            <w:r>
              <w:rPr>
                <w:sz w:val="18"/>
              </w:rPr>
              <w:t>10.1163/9789004379558_006</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From owning to owning up : authorial rights and rhetorical responsibilities — Susan Thompson West — (1997)</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Introduction to Stylistic Models and Applications — Savoy — (2020)</w:t>
            </w:r>
          </w:p>
        </w:tc>
        <w:tc>
          <w:tcPr>
            <w:tcW w:type="dxa" w:w="2016"/>
          </w:tcPr>
          <w:p>
            <w:pPr>
              <w:bidi w:val="0"/>
              <w:jc w:val="start"/>
            </w:pPr>
            <w:r/>
            <w:r>
              <w:rPr>
                <w:sz w:val="18"/>
              </w:rPr>
              <w:t>10.1007/978-3-030-53360-1_1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Public Perceptions of Generative AI in Creative Industries: A Reddit-Based Text Mining Study — Mitja Bervar et al. — (2026)</w:t>
            </w:r>
          </w:p>
        </w:tc>
        <w:tc>
          <w:tcPr>
            <w:tcW w:type="dxa" w:w="2016"/>
            <w:shd w:val="clear" w:color="auto" w:fill="FFF5EB"/>
          </w:tcPr>
          <w:p>
            <w:pPr>
              <w:bidi w:val="0"/>
              <w:jc w:val="start"/>
            </w:pPr>
            <w:r/>
            <w:r>
              <w:rPr>
                <w:sz w:val="18"/>
              </w:rPr>
              <w:t>10.3390/systems14010116</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Dancing someone else's movements through someone else’s body — Jorge Poveda Yánez et al. — (2021)</w:t>
            </w:r>
          </w:p>
        </w:tc>
        <w:tc>
          <w:tcPr>
            <w:tcW w:type="dxa" w:w="2016"/>
          </w:tcPr>
          <w:p>
            <w:pPr>
              <w:bidi w:val="0"/>
              <w:jc w:val="start"/>
            </w:pPr>
            <w:r/>
            <w:r>
              <w:rPr>
                <w:sz w:val="18"/>
              </w:rPr>
              <w:t>10.5324/da.v7i1.4224</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Authorship Attribution using Tf-Idf weight with Machine Learning Approaches — Mahor et al. — (2023)</w:t>
            </w:r>
          </w:p>
        </w:tc>
        <w:tc>
          <w:tcPr>
            <w:tcW w:type="dxa" w:w="2016"/>
            <w:shd w:val="clear" w:color="auto" w:fill="FFF5EB"/>
          </w:tcPr>
          <w:p>
            <w:pPr>
              <w:bidi w:val="0"/>
              <w:jc w:val="start"/>
            </w:pPr>
            <w:r/>
            <w:r>
              <w:rPr>
                <w:sz w:val="18"/>
              </w:rPr>
              <w:t>10.21203/rs.3.rs-2707585/v1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Parafictional artists. From the critique of authorship to the curatorial turn — Emma Brasó — (2018)</w:t>
            </w:r>
          </w:p>
        </w:tc>
        <w:tc>
          <w:tcPr>
            <w:tcW w:type="dxa" w:w="2016"/>
          </w:tcPr>
          <w:p>
            <w:pPr>
              <w:bidi w:val="0"/>
              <w:jc w:val="start"/>
            </w:pPr>
            <w:r/>
            <w:r>
              <w:rPr>
                <w:sz w:val="18"/>
              </w:rPr>
              <w:t>—</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AI as a Research Partner: Advocating for Co-Authorship in Academic Publications — Juan Dempere et al. — (2025)</w:t>
            </w:r>
          </w:p>
        </w:tc>
        <w:tc>
          <w:tcPr>
            <w:tcW w:type="dxa" w:w="2016"/>
            <w:shd w:val="clear" w:color="auto" w:fill="FFF5EB"/>
          </w:tcPr>
          <w:p>
            <w:pPr>
              <w:bidi w:val="0"/>
              <w:jc w:val="start"/>
            </w:pPr>
            <w:r/>
            <w:r>
              <w:rPr>
                <w:sz w:val="18"/>
              </w:rPr>
              <w:t>10.64044/j8enmv71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Dying and Rising with the Author: Specters of Paul and the Material Text — Fewster — (2019)</w:t>
            </w:r>
          </w:p>
        </w:tc>
        <w:tc>
          <w:tcPr>
            <w:tcW w:type="dxa" w:w="2016"/>
          </w:tcPr>
          <w:p>
            <w:pPr>
              <w:bidi w:val="0"/>
              <w:jc w:val="start"/>
            </w:pPr>
            <w:r/>
            <w:r>
              <w:rPr>
                <w:sz w:val="18"/>
              </w:rPr>
              <w:t>10.1163/9789004379558_011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Authorship and Literary Value — Farrell — (2017)</w:t>
            </w:r>
          </w:p>
        </w:tc>
        <w:tc>
          <w:tcPr>
            <w:tcW w:type="dxa" w:w="2016"/>
            <w:shd w:val="clear" w:color="auto" w:fill="FFF5EB"/>
          </w:tcPr>
          <w:p>
            <w:pPr>
              <w:bidi w:val="0"/>
              <w:jc w:val="start"/>
            </w:pPr>
            <w:r/>
            <w:r>
              <w:rPr>
                <w:sz w:val="18"/>
              </w:rPr>
              <w:t>10.1007/978-3-319-48977-3_5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Authors Dead and Resurrected — Breu — (2019)</w:t>
            </w:r>
          </w:p>
        </w:tc>
        <w:tc>
          <w:tcPr>
            <w:tcW w:type="dxa" w:w="2016"/>
          </w:tcPr>
          <w:p>
            <w:pPr>
              <w:bidi w:val="0"/>
              <w:jc w:val="start"/>
            </w:pPr>
            <w:r/>
            <w:r>
              <w:rPr>
                <w:sz w:val="18"/>
              </w:rPr>
              <w:t>10.1163/9789004379558_002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5. Applying Automated Authorship Attribution to Greek Tragedy: The Case of Pr. — (2020)</w:t>
            </w:r>
          </w:p>
        </w:tc>
        <w:tc>
          <w:tcPr>
            <w:tcW w:type="dxa" w:w="2016"/>
            <w:shd w:val="clear" w:color="auto" w:fill="FFF5EB"/>
          </w:tcPr>
          <w:p>
            <w:pPr>
              <w:bidi w:val="0"/>
              <w:jc w:val="start"/>
            </w:pPr>
            <w:r/>
            <w:r>
              <w:rPr>
                <w:sz w:val="18"/>
              </w:rPr>
              <w:t>10.1515/9783110687675-005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GENERATIVE ARTIFICIAL INTELLIGENCE AND COPYRIGHT OWNERSHIP: A DOCTRINAL ANALYSIS OF AUTHORSHIP, ORIGINALITY, AND THE CRISIS OF CREATIVE ATTRIBUTION — Kotia — (2026)</w:t>
            </w:r>
          </w:p>
        </w:tc>
        <w:tc>
          <w:tcPr>
            <w:tcW w:type="dxa" w:w="2016"/>
          </w:tcPr>
          <w:p>
            <w:pPr>
              <w:bidi w:val="0"/>
              <w:jc w:val="start"/>
            </w:pPr>
            <w:r/>
            <w:r>
              <w:rPr>
                <w:sz w:val="18"/>
              </w:rPr>
              <w:t>10.70183/lijdlr.2026.v04.152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The Good That I Mean I Do Not Say: Meaning, Intention, Psychology and Romans 7 — Adam — (2019)</w:t>
            </w:r>
          </w:p>
        </w:tc>
        <w:tc>
          <w:tcPr>
            <w:tcW w:type="dxa" w:w="2016"/>
            <w:shd w:val="clear" w:color="auto" w:fill="FFF5EB"/>
          </w:tcPr>
          <w:p>
            <w:pPr>
              <w:bidi w:val="0"/>
              <w:jc w:val="start"/>
            </w:pPr>
            <w:r/>
            <w:r>
              <w:rPr>
                <w:sz w:val="18"/>
              </w:rPr>
              <w:t>10.1163/9789004379558_012</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 Profiling of Tweets — Savoy — (2020)</w:t>
            </w:r>
          </w:p>
        </w:tc>
        <w:tc>
          <w:tcPr>
            <w:tcW w:type="dxa" w:w="2016"/>
          </w:tcPr>
          <w:p>
            <w:pPr>
              <w:bidi w:val="0"/>
              <w:jc w:val="start"/>
            </w:pPr>
            <w:r/>
            <w:r>
              <w:rPr>
                <w:sz w:val="18"/>
              </w:rPr>
              <w:t>10.1007/978-3-030-53360-1_9</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The Concept of Originality — Alamri — (2025)</w:t>
            </w:r>
          </w:p>
        </w:tc>
        <w:tc>
          <w:tcPr>
            <w:tcW w:type="dxa" w:w="2016"/>
            <w:shd w:val="clear" w:color="auto" w:fill="FFF5EB"/>
          </w:tcPr>
          <w:p>
            <w:pPr>
              <w:bidi w:val="0"/>
              <w:jc w:val="start"/>
            </w:pPr>
            <w:r/>
            <w:r>
              <w:rPr>
                <w:sz w:val="18"/>
              </w:rPr>
              <w:t>10.4324/9781003586555-6</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Review for "Trends in Equal-Contribution Authorship: A Large-Scale Bibliometric Analysis of Biomedical Literature" — (2025)</w:t>
            </w:r>
          </w:p>
        </w:tc>
        <w:tc>
          <w:tcPr>
            <w:tcW w:type="dxa" w:w="2016"/>
          </w:tcPr>
          <w:p>
            <w:pPr>
              <w:bidi w:val="0"/>
              <w:jc w:val="start"/>
            </w:pPr>
            <w:r/>
            <w:r>
              <w:rPr>
                <w:sz w:val="18"/>
              </w:rPr>
              <w:t>10.1162/qss.a.476/v1/review2</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Re-Defining Copyright Originality in the Age of AI: Reconciling Creativity, Labour, and Human Authorship — Odugbemi — (2026)</w:t>
            </w:r>
          </w:p>
        </w:tc>
        <w:tc>
          <w:tcPr>
            <w:tcW w:type="dxa" w:w="2016"/>
            <w:shd w:val="clear" w:color="auto" w:fill="FFF5EB"/>
          </w:tcPr>
          <w:p>
            <w:pPr>
              <w:bidi w:val="0"/>
              <w:jc w:val="start"/>
            </w:pPr>
            <w:r/>
            <w:r>
              <w:rPr>
                <w:sz w:val="18"/>
              </w:rPr>
              <w:t>10.2139/ssrn.6179858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Review for "Trends in Equal-Contribution Authorship: A Large-Scale Bibliometric Analysis of Biomedical Literature" — (2026)</w:t>
            </w:r>
          </w:p>
        </w:tc>
        <w:tc>
          <w:tcPr>
            <w:tcW w:type="dxa" w:w="2016"/>
          </w:tcPr>
          <w:p>
            <w:pPr>
              <w:bidi w:val="0"/>
              <w:jc w:val="start"/>
            </w:pPr>
            <w:r/>
            <w:r>
              <w:rPr>
                <w:sz w:val="18"/>
              </w:rPr>
              <w:t>10.1162/qss.a.476/v3/review1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Review for "Trends in Equal-Contribution Authorship: A Large-Scale Bibliometric Analysis of Biomedical Literature" — (2025)</w:t>
            </w:r>
          </w:p>
        </w:tc>
        <w:tc>
          <w:tcPr>
            <w:tcW w:type="dxa" w:w="2016"/>
            <w:shd w:val="clear" w:color="auto" w:fill="FFF5EB"/>
          </w:tcPr>
          <w:p>
            <w:pPr>
              <w:bidi w:val="0"/>
              <w:jc w:val="start"/>
            </w:pPr>
            <w:r/>
            <w:r>
              <w:rPr>
                <w:sz w:val="18"/>
              </w:rPr>
              <w:t>10.1162/qss.a.476/v1/review1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Negotiated Augmentation: How Generative AI Reshapes Creative Workflows, Agency, and Authorship in Architecture and Design — Tu et al. — (2026)</w:t>
            </w:r>
          </w:p>
        </w:tc>
        <w:tc>
          <w:tcPr>
            <w:tcW w:type="dxa" w:w="2016"/>
          </w:tcPr>
          <w:p>
            <w:pPr>
              <w:bidi w:val="0"/>
              <w:jc w:val="start"/>
            </w:pPr>
            <w:r/>
            <w:r>
              <w:rPr>
                <w:sz w:val="18"/>
              </w:rPr>
              <w:t>10.21203/rs.3.rs-8740007/v1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Authorship Without Authors: Rethinking Copyright and Personality Rights in the Age of Generative AI — Aravindhan — (2026)</w:t>
            </w:r>
          </w:p>
        </w:tc>
        <w:tc>
          <w:tcPr>
            <w:tcW w:type="dxa" w:w="2016"/>
            <w:shd w:val="clear" w:color="auto" w:fill="FFF5EB"/>
          </w:tcPr>
          <w:p>
            <w:pPr>
              <w:bidi w:val="0"/>
              <w:jc w:val="start"/>
            </w:pPr>
            <w:r/>
            <w:r>
              <w:rPr>
                <w:sz w:val="18"/>
              </w:rPr>
              <w:t>10.2139/ssrn.6081206</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AI and the Death of the Academic Author: A dialectical assessment of the challenges of generative AI for the concept and practice of academic authorship — Zwart — (2026)</w:t>
            </w:r>
          </w:p>
        </w:tc>
        <w:tc>
          <w:tcPr>
            <w:tcW w:type="dxa" w:w="2016"/>
          </w:tcPr>
          <w:p>
            <w:pPr>
              <w:bidi w:val="0"/>
              <w:jc w:val="start"/>
            </w:pPr>
            <w:r/>
            <w:r>
              <w:rPr>
                <w:sz w:val="18"/>
              </w:rPr>
              <w:t>10.26650/bs/ah11t3.2026.002-5.01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Prompt-Driven Conceptual Modeling: A Framework for Generative Theoretical Prototyping in the Age of AI — Wooden — (2025)</w:t>
            </w:r>
          </w:p>
        </w:tc>
        <w:tc>
          <w:tcPr>
            <w:tcW w:type="dxa" w:w="2016"/>
            <w:shd w:val="clear" w:color="auto" w:fill="FFF5EB"/>
          </w:tcPr>
          <w:p>
            <w:pPr>
              <w:bidi w:val="0"/>
              <w:jc w:val="start"/>
            </w:pPr>
            <w:r/>
            <w:r>
              <w:rPr>
                <w:sz w:val="18"/>
              </w:rPr>
              <w:t>10.2139/ssrn.5602411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14 “The unreckoned consequences of art”: Authorial Realism in Munro, Carver, Roth, and Moore — (2023)</w:t>
            </w:r>
          </w:p>
        </w:tc>
        <w:tc>
          <w:tcPr>
            <w:tcW w:type="dxa" w:w="2016"/>
          </w:tcPr>
          <w:p>
            <w:pPr>
              <w:bidi w:val="0"/>
              <w:jc w:val="start"/>
            </w:pPr>
            <w:r/>
            <w:r>
              <w:rPr>
                <w:sz w:val="18"/>
              </w:rPr>
              <w:t>10.1515/9783111056166-015</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Professional investor psychology and investment performance: evidence from mutual funds — Arman Eshraghi — (2012)</w:t>
            </w:r>
          </w:p>
        </w:tc>
        <w:tc>
          <w:tcPr>
            <w:tcW w:type="dxa" w:w="2016"/>
            <w:shd w:val="clear" w:color="auto" w:fill="FFF5EB"/>
          </w:tcPr>
          <w:p>
            <w:pPr>
              <w:bidi w:val="0"/>
              <w:jc w:val="start"/>
            </w:pPr>
            <w:r/>
            <w:r>
              <w:rPr>
                <w:sz w:val="18"/>
              </w:rPr>
              <w:t>—</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Moral rights of authors in international copyright of the 21st century : time for consolidation? — Lenka Radkova — (2009)</w:t>
            </w:r>
          </w:p>
        </w:tc>
        <w:tc>
          <w:tcPr>
            <w:tcW w:type="dxa" w:w="2016"/>
          </w:tcPr>
          <w:p>
            <w:pPr>
              <w:bidi w:val="0"/>
              <w:jc w:val="start"/>
            </w:pPr>
            <w:r/>
            <w:r>
              <w:rPr>
                <w:sz w:val="18"/>
              </w:rPr>
              <w:t>10.14288/1.0077577</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Zamfara International Journal of Education (ZIJE) VOLUME 5 NUMBER 3 — Editor in Chief Associate Professor Umar Sodangi et al. — (2025)</w:t>
            </w:r>
          </w:p>
        </w:tc>
        <w:tc>
          <w:tcPr>
            <w:tcW w:type="dxa" w:w="2016"/>
            <w:shd w:val="clear" w:color="auto" w:fill="FFF5EB"/>
          </w:tcPr>
          <w:p>
            <w:pPr>
              <w:bidi w:val="0"/>
              <w:jc w:val="start"/>
            </w:pPr>
            <w:r/>
            <w:r>
              <w:rPr>
                <w:sz w:val="18"/>
              </w:rPr>
              <w:t>10.64348/zije.202554</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Volume 44 (2024) — (2024)</w:t>
            </w:r>
          </w:p>
        </w:tc>
        <w:tc>
          <w:tcPr>
            <w:tcW w:type="dxa" w:w="2016"/>
          </w:tcPr>
          <w:p>
            <w:pPr>
              <w:bidi w:val="0"/>
              <w:jc w:val="start"/>
            </w:pPr>
            <w:r/>
            <w:r>
              <w:rPr>
                <w:sz w:val="18"/>
              </w:rPr>
              <w:t>10.33675/spell/2024/44/1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Cross-linguistic Authorship Attribution and Author Profiling. Is Machine Translation the Solution? — Mikros et al. — (2022)</w:t>
            </w:r>
          </w:p>
        </w:tc>
        <w:tc>
          <w:tcPr>
            <w:tcW w:type="dxa" w:w="2016"/>
            <w:shd w:val="clear" w:color="auto" w:fill="FFF5EB"/>
          </w:tcPr>
          <w:p>
            <w:pPr>
              <w:bidi w:val="0"/>
              <w:jc w:val="start"/>
            </w:pPr>
            <w:r/>
            <w:r>
              <w:rPr>
                <w:sz w:val="18"/>
              </w:rPr>
              <w:t>10.21203/rs.3.rs-2129774/v1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Covert and overt plagiarism: poetic attribution, originality and authorship — Holland-Batt et al. — (2024)</w:t>
            </w:r>
          </w:p>
        </w:tc>
        <w:tc>
          <w:tcPr>
            <w:tcW w:type="dxa" w:w="2016"/>
          </w:tcPr>
          <w:p>
            <w:pPr>
              <w:bidi w:val="0"/>
              <w:jc w:val="start"/>
            </w:pPr>
            <w:r/>
            <w:r>
              <w:rPr>
                <w:sz w:val="18"/>
              </w:rPr>
              <w:t>10.1080/14790726.2024.2425414</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Authorial Intention and Authorial Ambition</w:t>
            </w:r>
          </w:p>
        </w:tc>
        <w:tc>
          <w:tcPr>
            <w:tcW w:type="dxa" w:w="2016"/>
            <w:shd w:val="clear" w:color="auto" w:fill="FFF5EB"/>
          </w:tcPr>
          <w:p>
            <w:pPr>
              <w:bidi w:val="0"/>
              <w:jc w:val="start"/>
            </w:pPr>
            <w:r/>
            <w:r>
              <w:rPr>
                <w:sz w:val="18"/>
              </w:rPr>
              <w:t>10.2307/j.ctt3fgp8h.10</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Authorship Without an Author: Rethinking Copyright Ownership in the Age of Generative AI — Shafiq — (2026)</w:t>
            </w:r>
          </w:p>
        </w:tc>
        <w:tc>
          <w:tcPr>
            <w:tcW w:type="dxa" w:w="2016"/>
          </w:tcPr>
          <w:p>
            <w:pPr>
              <w:bidi w:val="0"/>
              <w:jc w:val="start"/>
            </w:pPr>
            <w:r/>
            <w:r>
              <w:rPr>
                <w:sz w:val="18"/>
              </w:rPr>
              <w:t>10.2139/ssrn.6917558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Generative AI in Cybersecurity: A Systematic Literature Review and Meta-Analysis — Tumpa et al. — (2026)</w:t>
            </w:r>
          </w:p>
        </w:tc>
        <w:tc>
          <w:tcPr>
            <w:tcW w:type="dxa" w:w="2016"/>
            <w:shd w:val="clear" w:color="auto" w:fill="FFF5EB"/>
          </w:tcPr>
          <w:p>
            <w:pPr>
              <w:bidi w:val="0"/>
              <w:jc w:val="start"/>
            </w:pPr>
            <w:r/>
            <w:r>
              <w:rPr>
                <w:sz w:val="18"/>
              </w:rPr>
              <w:t>10.20944/preprints202604.0324.v1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Honorary authorship is highly prevalent in health sciences: systematic review and meta-analysis of surveys — Reynders et al. — (2023)</w:t>
            </w:r>
          </w:p>
        </w:tc>
        <w:tc>
          <w:tcPr>
            <w:tcW w:type="dxa" w:w="2016"/>
          </w:tcPr>
          <w:p>
            <w:pPr>
              <w:bidi w:val="0"/>
              <w:jc w:val="start"/>
            </w:pPr>
            <w:r/>
            <w:r>
              <w:rPr>
                <w:sz w:val="18"/>
              </w:rPr>
              <w:t>10.21203/rs.3.rs-3321504/v1</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Generative AI as Co-Author in Creative Practice: Authorship, Originality, and Aesthetics (2020-Present) — Nabirye H. — (2026)</w:t>
            </w:r>
          </w:p>
        </w:tc>
        <w:tc>
          <w:tcPr>
            <w:tcW w:type="dxa" w:w="2016"/>
            <w:shd w:val="clear" w:color="auto" w:fill="FFF5EB"/>
          </w:tcPr>
          <w:p>
            <w:pPr>
              <w:bidi w:val="0"/>
              <w:jc w:val="start"/>
            </w:pPr>
            <w:r/>
            <w:r>
              <w:rPr>
                <w:sz w:val="18"/>
              </w:rPr>
              <w:t>10.59298/idosrjah/2025/1216575</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Generative Artificial Intelligence in Creative Writing and Higher Education: A Systematic Literature Review of Authorship, Cognitive Agency, and Pedagogical Transformation (2020-2026) — Aguite Jr — (2026)</w:t>
            </w:r>
          </w:p>
        </w:tc>
        <w:tc>
          <w:tcPr>
            <w:tcW w:type="dxa" w:w="2016"/>
          </w:tcPr>
          <w:p>
            <w:pPr>
              <w:bidi w:val="0"/>
              <w:jc w:val="start"/>
            </w:pPr>
            <w:r/>
            <w:r>
              <w:rPr>
                <w:sz w:val="18"/>
              </w:rPr>
              <w:t>10.2139/ssrn.6611418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When AI Writes, Who Is the Author? Authorship as Governance in Generative AI — Liang — (2026)</w:t>
            </w:r>
          </w:p>
        </w:tc>
        <w:tc>
          <w:tcPr>
            <w:tcW w:type="dxa" w:w="2016"/>
            <w:shd w:val="clear" w:color="auto" w:fill="FFF5EB"/>
          </w:tcPr>
          <w:p>
            <w:pPr>
              <w:bidi w:val="0"/>
              <w:jc w:val="start"/>
            </w:pPr>
            <w:r/>
            <w:r>
              <w:rPr>
                <w:sz w:val="18"/>
              </w:rPr>
              <w:t>10.2139/ssrn.6233898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Scientific Muse and Misuse: Reevaluating Authorship Attribution and Liability Allocation in the Generative AI Age&amp;amp;nbsp; — Cohen Ganot — (2026)</w:t>
            </w:r>
          </w:p>
        </w:tc>
        <w:tc>
          <w:tcPr>
            <w:tcW w:type="dxa" w:w="2016"/>
          </w:tcPr>
          <w:p>
            <w:pPr>
              <w:bidi w:val="0"/>
              <w:jc w:val="start"/>
            </w:pPr>
            <w:r/>
            <w:r>
              <w:rPr>
                <w:sz w:val="18"/>
              </w:rPr>
              <w:t>10.2139/ssrn.6400518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Review for "Trends in Equal-Contribution Authorship: A Large-Scale Bibliometric Analysis of Biomedical Literature" — (2025)</w:t>
            </w:r>
          </w:p>
        </w:tc>
        <w:tc>
          <w:tcPr>
            <w:tcW w:type="dxa" w:w="2016"/>
            <w:shd w:val="clear" w:color="auto" w:fill="FFF5EB"/>
          </w:tcPr>
          <w:p>
            <w:pPr>
              <w:bidi w:val="0"/>
              <w:jc w:val="start"/>
            </w:pPr>
            <w:r/>
            <w:r>
              <w:rPr>
                <w:sz w:val="18"/>
              </w:rPr>
              <w:t>10.1162/qss.a.476/v2/review1</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Human Creative Control: Rethinking Authorship in the Age of Generative AI — Donahue — (2026)</w:t>
            </w:r>
          </w:p>
        </w:tc>
        <w:tc>
          <w:tcPr>
            <w:tcW w:type="dxa" w:w="2016"/>
          </w:tcPr>
          <w:p>
            <w:pPr>
              <w:bidi w:val="0"/>
              <w:jc w:val="start"/>
            </w:pPr>
            <w:r/>
            <w:r>
              <w:rPr>
                <w:sz w:val="18"/>
              </w:rPr>
              <w:t>10.2139/ssrn.6531938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&amp;lt;span&amp;gt;&amp;lt;b&amp;gt;Generative AI and Copyright Law: Human Authorship, Originality, and Comparative Perspectives&amp;lt;/b&amp;gt;&amp;lt;/span&amp;gt; — Bozbel — (2026)</w:t>
            </w:r>
          </w:p>
        </w:tc>
        <w:tc>
          <w:tcPr>
            <w:tcW w:type="dxa" w:w="2016"/>
            <w:shd w:val="clear" w:color="auto" w:fill="FFF5EB"/>
          </w:tcPr>
          <w:p>
            <w:pPr>
              <w:bidi w:val="0"/>
              <w:jc w:val="start"/>
            </w:pPr>
            <w:r/>
            <w:r>
              <w:rPr>
                <w:sz w:val="18"/>
              </w:rPr>
              <w:t>10.2139/ssrn.6313438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Reconceptualizing Authorship and Accountability in the Age of AI: A Legal-based Theoretical Framework for AI-Generated and Mediated Communication — Towne — (2024)</w:t>
            </w:r>
          </w:p>
        </w:tc>
        <w:tc>
          <w:tcPr>
            <w:tcW w:type="dxa" w:w="2016"/>
          </w:tcPr>
          <w:p>
            <w:pPr>
              <w:bidi w:val="0"/>
              <w:jc w:val="start"/>
            </w:pPr>
            <w:r/>
            <w:r>
              <w:rPr>
                <w:sz w:val="18"/>
              </w:rPr>
              <w:t>10.31219/osf.io/teymn</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Prompt-Driven Conceptual Modeling: A Framework for Generative Theoretical Prototyping in the Age of AI — Wooden — (2025)</w:t>
            </w:r>
          </w:p>
        </w:tc>
        <w:tc>
          <w:tcPr>
            <w:tcW w:type="dxa" w:w="2016"/>
            <w:shd w:val="clear" w:color="auto" w:fill="FFF5EB"/>
          </w:tcPr>
          <w:p>
            <w:pPr>
              <w:bidi w:val="0"/>
              <w:jc w:val="start"/>
            </w:pPr>
            <w:r/>
            <w:r>
              <w:rPr>
                <w:sz w:val="18"/>
              </w:rPr>
              <w:t>10.2139/ssrn.5469146</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Who’s the Author? How Explanations Impact User Reliance in AI-Assisted Authorship Attribution — Bao et al. — (2025)</w:t>
            </w:r>
          </w:p>
        </w:tc>
        <w:tc>
          <w:tcPr>
            <w:tcW w:type="dxa" w:w="2016"/>
          </w:tcPr>
          <w:p>
            <w:pPr>
              <w:bidi w:val="0"/>
              <w:jc w:val="start"/>
            </w:pPr>
            <w:r/>
            <w:r>
              <w:rPr>
                <w:sz w:val="18"/>
              </w:rPr>
              <w:t>10.18653/v1/2025.findings-emnlp.1380</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Between Authorship and Oral Transmission: Negotiating the Attribution  of Authorial, Oral and Collective Style Markers in Early Modern Playtexts — Petersen — (2016)</w:t>
            </w:r>
          </w:p>
        </w:tc>
        <w:tc>
          <w:tcPr>
            <w:tcW w:type="dxa" w:w="2016"/>
            <w:shd w:val="clear" w:color="auto" w:fill="FFF5EB"/>
          </w:tcPr>
          <w:p>
            <w:pPr>
              <w:bidi w:val="0"/>
              <w:jc w:val="start"/>
            </w:pPr>
            <w:r/>
            <w:r>
              <w:rPr>
                <w:sz w:val="18"/>
              </w:rPr>
              <w:t>10.13128/jems-2279-7149-18093</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ORIGINALITY, AUTHORSHIP, AND GENERATIVE AI: RETHINKING INDONESIAN COPYRIGHT LAW — Zakiyah et al. — (2025)</w:t>
            </w:r>
          </w:p>
        </w:tc>
        <w:tc>
          <w:tcPr>
            <w:tcW w:type="dxa" w:w="2016"/>
          </w:tcPr>
          <w:p>
            <w:pPr>
              <w:bidi w:val="0"/>
              <w:jc w:val="start"/>
            </w:pPr>
            <w:r/>
            <w:r>
              <w:rPr>
                <w:sz w:val="18"/>
              </w:rPr>
              <w:t>10.14710/jhp.13.2.385-416</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Born-Again Bibles: Biblical Studies after the “Death of the Author” — Strømmen — (2019)</w:t>
            </w:r>
          </w:p>
        </w:tc>
        <w:tc>
          <w:tcPr>
            <w:tcW w:type="dxa" w:w="2016"/>
            <w:shd w:val="clear" w:color="auto" w:fill="FFF5EB"/>
          </w:tcPr>
          <w:p>
            <w:pPr>
              <w:bidi w:val="0"/>
              <w:jc w:val="start"/>
            </w:pPr>
            <w:r/>
            <w:r>
              <w:rPr>
                <w:sz w:val="18"/>
              </w:rPr>
              <w:t>10.1163/9789004379558_008</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Co-authoring Strategies in Business Research — Deirdre McQuillan — (2021)</w:t>
            </w:r>
          </w:p>
        </w:tc>
        <w:tc>
          <w:tcPr>
            <w:tcW w:type="dxa" w:w="2016"/>
          </w:tcPr>
          <w:p>
            <w:pPr>
              <w:bidi w:val="0"/>
              <w:jc w:val="start"/>
            </w:pPr>
            <w:r/>
            <w:r>
              <w:rPr>
                <w:sz w:val="18"/>
              </w:rPr>
              <w:t>10.21427/mste-8658</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r>
        <w:trPr>
          <w:cantSplit/>
        </w:trPr>
        <w:tc>
          <w:tcPr>
            <w:tcW w:type="dxa" w:w="4176"/>
            <w:shd w:val="clear" w:color="auto" w:fill="FFF5EB"/>
          </w:tcPr>
          <w:p>
            <w:pPr>
              <w:bidi w:val="0"/>
              <w:jc w:val="start"/>
            </w:pPr>
            <w:r/>
            <w:r>
              <w:rPr>
                <w:sz w:val="18"/>
              </w:rPr>
              <w:t>Between Intention and Reception: Textual Meaning-Making in Intersubjective Perspective — Dinkler — (2019)</w:t>
            </w:r>
          </w:p>
        </w:tc>
        <w:tc>
          <w:tcPr>
            <w:tcW w:type="dxa" w:w="2016"/>
            <w:shd w:val="clear" w:color="auto" w:fill="FFF5EB"/>
          </w:tcPr>
          <w:p>
            <w:pPr>
              <w:bidi w:val="0"/>
              <w:jc w:val="start"/>
            </w:pPr>
            <w:r/>
            <w:r>
              <w:rPr>
                <w:sz w:val="18"/>
              </w:rPr>
              <w:t>10.1163/9789004379558_007</w:t>
            </w:r>
          </w:p>
        </w:tc>
        <w:tc>
          <w:tcPr>
            <w:tcW w:type="dxa" w:w="1728"/>
            <w:shd w:val="clear" w:color="auto" w:fill="FFF5EB"/>
          </w:tcPr>
          <w:p>
            <w:pPr>
              <w:bidi/>
              <w:jc w:val="start"/>
            </w:pPr>
            <w:r>
              <w:rPr>
                <w:rtl/>
              </w:rPr>
            </w:r>
            <w:r>
              <w:rPr>
                <w:sz w:val="18"/>
                <w:rtl/>
              </w:rPr>
              <w:t>חיפוש ממוקד</w:t>
            </w:r>
          </w:p>
        </w:tc>
        <w:tc>
          <w:tcPr>
            <w:tcW w:type="dxa" w:w="2592"/>
            <w:shd w:val="clear" w:color="auto" w:fill="FFF5EB"/>
          </w:tcPr>
          <w:p>
            <w:pPr>
              <w:bidi/>
              <w:jc w:val="start"/>
            </w:pPr>
            <w:r>
              <w:rPr>
                <w:rtl/>
              </w:rPr>
            </w:r>
            <w:r>
              <w:rPr>
                <w:sz w:val="18"/>
                <w:rtl/>
              </w:rPr>
              <w:t>צוטט בעבודה</w:t>
            </w:r>
          </w:p>
        </w:tc>
      </w:tr>
      <w:tr>
        <w:trPr>
          <w:cantSplit/>
        </w:trPr>
        <w:tc>
          <w:tcPr>
            <w:tcW w:type="dxa" w:w="4176"/>
          </w:tcPr>
          <w:p>
            <w:pPr>
              <w:bidi w:val="0"/>
              <w:jc w:val="start"/>
            </w:pPr>
            <w:r/>
            <w:r>
              <w:rPr>
                <w:sz w:val="18"/>
              </w:rPr>
              <w:t>Exegesis without Authorial Intention? On the Role of the “Author Construct” in Text Interpretation — Heinen — (2019)</w:t>
            </w:r>
          </w:p>
        </w:tc>
        <w:tc>
          <w:tcPr>
            <w:tcW w:type="dxa" w:w="2016"/>
          </w:tcPr>
          <w:p>
            <w:pPr>
              <w:bidi w:val="0"/>
              <w:jc w:val="start"/>
            </w:pPr>
            <w:r/>
            <w:r>
              <w:rPr>
                <w:sz w:val="18"/>
              </w:rPr>
              <w:t>10.1163/9789004379558_003</w:t>
            </w:r>
          </w:p>
        </w:tc>
        <w:tc>
          <w:tcPr>
            <w:tcW w:type="dxa" w:w="1728"/>
          </w:tcPr>
          <w:p>
            <w:pPr>
              <w:bidi/>
              <w:jc w:val="start"/>
            </w:pPr>
            <w:r>
              <w:rPr>
                <w:rtl/>
              </w:rPr>
            </w:r>
            <w:r>
              <w:rPr>
                <w:sz w:val="18"/>
                <w:rtl/>
              </w:rPr>
              <w:t>חיפוש ממוקד</w:t>
            </w:r>
          </w:p>
        </w:tc>
        <w:tc>
          <w:tcPr>
            <w:tcW w:type="dxa" w:w="2592"/>
          </w:tcPr>
          <w:p>
            <w:pPr>
              <w:bidi/>
              <w:jc w:val="start"/>
            </w:pPr>
            <w:r>
              <w:rPr>
                <w:rtl/>
              </w:rPr>
            </w:r>
            <w:r>
              <w:rPr>
                <w:sz w:val="18"/>
                <w:rtl/>
              </w:rPr>
              <w:t>צוטט בעבודה</w:t>
            </w:r>
          </w:p>
        </w:tc>
      </w:tr>
    </w:tbl>
    <w:p>
      <w:pPr>
        <w:bidi/>
        <w:jc w:val="start"/>
      </w:pPr>
    </w:p>
    <w:p>
      <w:pPr>
        <w:bidi/>
        <w:jc w:val="start"/>
      </w:pPr>
    </w:p>
    <w:p>
      <w:pPr>
        <w:pStyle w:val="Heading1"/>
        <w:pBdr>
          <w:bottom w:val="single" w:sz="18" w:space="4" w:color="E06D00"/>
        </w:pBdr>
        <w:bidi/>
        <w:jc w:val="start"/>
      </w:pPr>
      <w:r>
        <w:rPr>
          <w:rtl/>
        </w:rPr>
        <w:t>החיפושים שביצענו</w:t>
      </w:r>
    </w:p>
    <w:p>
      <w:pPr>
        <w:bidi/>
        <w:jc w:val="start"/>
      </w:pPr>
      <w:r>
        <w:rPr>
          <w:rFonts w:ascii="Times New Roman" w:hAnsi="Times New Roman" w:cs="Times New Roman"/>
          <w:b w:val="0"/>
          <w:color w:val="6B7280"/>
          <w:sz w:val="20"/>
          <w:rtl/>
        </w:rPr>
        <w:t>גרסאות השאילתה המדויקות ששימשו לבניית מאגר המקורות שלך. כל זווית מכוונת לסוג אחר של ראיות; חיפוש הרקע מרחיב את היריעה למקורות של הקשר כללי.</w:t>
      </w:r>
    </w:p>
    <w:sectPr w:rsidR="00FC693F" w:rsidRPr="0006063C" w:rsidSect="00034616">
      <w:footerReference w:type="default" r:id="rId9"/>
      <w:pgSz w:w="12240" w:h="15840"/>
      <w:pgMar w:top="1440" w:right="1800" w:bottom="1440" w:left="1800" w:header="720" w:footer="720" w:gutter="0"/>
      <w:cols w:space="720"/>
      <w:docGrid w:linePitch="360"/>
      <w:pgNumType w:start="1"/>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pPr>
    <w:r>
      <w:rPr>
        <w:rtl/>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C06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